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after="156"/>
        <w:ind w:firstLine="0" w:firstLineChars="0"/>
        <w:jc w:val="both"/>
        <w:rPr>
          <w:rFonts w:eastAsia="黑体" w:cs="Times New Roman"/>
          <w:b/>
          <w:color w:val="FF0000"/>
          <w:sz w:val="36"/>
          <w:szCs w:val="36"/>
        </w:rPr>
      </w:pPr>
    </w:p>
    <w:p>
      <w:pPr>
        <w:spacing w:before="156" w:after="156"/>
        <w:ind w:left="721" w:hanging="721" w:hangingChars="200"/>
        <w:jc w:val="both"/>
        <w:rPr>
          <w:rFonts w:eastAsia="华文中宋" w:cs="Times New Roman"/>
          <w:b/>
          <w:color w:val="auto"/>
          <w:sz w:val="36"/>
          <w:szCs w:val="36"/>
        </w:rPr>
      </w:pPr>
      <w:bookmarkStart w:id="0" w:name="_GoBack"/>
      <w:bookmarkEnd w:id="0"/>
      <w:r>
        <w:rPr>
          <w:rFonts w:hint="eastAsia" w:ascii="华文中宋" w:hAnsi="华文中宋" w:eastAsia="华文中宋" w:cs="Times New Roman"/>
          <w:b/>
          <w:color w:val="auto"/>
          <w:kern w:val="2"/>
          <w:sz w:val="36"/>
          <w:szCs w:val="36"/>
          <w:lang w:eastAsia="zh-CN"/>
        </w:rPr>
        <w:t>广元市托育综合服务中心、广元市妇幼保健院附属幼儿园项目地块</w:t>
      </w:r>
      <w:r>
        <w:rPr>
          <w:rFonts w:hint="eastAsia" w:ascii="华文中宋" w:hAnsi="华文中宋" w:eastAsia="华文中宋" w:cs="Times New Roman"/>
          <w:b/>
          <w:color w:val="auto"/>
          <w:kern w:val="2"/>
          <w:sz w:val="36"/>
          <w:szCs w:val="36"/>
        </w:rPr>
        <w:t>土壤污染状况</w:t>
      </w:r>
      <w:r>
        <w:rPr>
          <w:rFonts w:hint="eastAsia" w:ascii="华文中宋" w:hAnsi="华文中宋" w:eastAsia="华文中宋" w:cs="Times New Roman"/>
          <w:b/>
          <w:color w:val="auto"/>
          <w:kern w:val="2"/>
          <w:sz w:val="36"/>
          <w:szCs w:val="36"/>
          <w:lang w:val="en-US" w:eastAsia="zh-CN"/>
        </w:rPr>
        <w:t>初步</w:t>
      </w:r>
      <w:r>
        <w:rPr>
          <w:rFonts w:hint="eastAsia" w:ascii="华文中宋" w:hAnsi="华文中宋" w:eastAsia="华文中宋" w:cs="Times New Roman"/>
          <w:b/>
          <w:color w:val="auto"/>
          <w:kern w:val="2"/>
          <w:sz w:val="36"/>
          <w:szCs w:val="36"/>
        </w:rPr>
        <w:t>调查项目</w:t>
      </w:r>
    </w:p>
    <w:p>
      <w:pPr>
        <w:spacing w:before="156" w:after="156"/>
        <w:ind w:firstLine="198" w:firstLineChars="55"/>
        <w:jc w:val="center"/>
        <w:rPr>
          <w:rFonts w:eastAsia="华文中宋" w:cs="Times New Roman"/>
          <w:b/>
          <w:color w:val="auto"/>
          <w:sz w:val="36"/>
          <w:szCs w:val="36"/>
        </w:rPr>
      </w:pPr>
      <w:r>
        <w:rPr>
          <w:rFonts w:hint="eastAsia" w:eastAsia="华文中宋" w:cs="Times New Roman"/>
          <w:b/>
          <w:color w:val="auto"/>
          <w:sz w:val="36"/>
          <w:szCs w:val="36"/>
        </w:rPr>
        <w:t>采样监测方案</w:t>
      </w:r>
    </w:p>
    <w:p>
      <w:pPr>
        <w:spacing w:before="156" w:after="156"/>
        <w:ind w:firstLine="198" w:firstLineChars="55"/>
        <w:jc w:val="center"/>
        <w:rPr>
          <w:rFonts w:eastAsia="华文中宋" w:cs="Times New Roman"/>
          <w:b/>
          <w:color w:val="FF0000"/>
          <w:sz w:val="36"/>
          <w:szCs w:val="36"/>
        </w:rPr>
      </w:pPr>
    </w:p>
    <w:p>
      <w:pPr>
        <w:spacing w:before="156" w:after="156"/>
        <w:ind w:firstLine="198" w:firstLineChars="55"/>
        <w:jc w:val="center"/>
        <w:rPr>
          <w:rFonts w:eastAsia="华文中宋" w:cs="Times New Roman"/>
          <w:b/>
          <w:color w:val="FF0000"/>
          <w:sz w:val="36"/>
          <w:szCs w:val="36"/>
        </w:rPr>
      </w:pPr>
    </w:p>
    <w:p>
      <w:pPr>
        <w:spacing w:before="156" w:after="156"/>
        <w:ind w:firstLine="198" w:firstLineChars="55"/>
        <w:jc w:val="center"/>
        <w:rPr>
          <w:rFonts w:eastAsia="华文中宋" w:cs="Times New Roman"/>
          <w:b/>
          <w:color w:val="FF0000"/>
          <w:sz w:val="36"/>
          <w:szCs w:val="36"/>
        </w:rPr>
      </w:pPr>
    </w:p>
    <w:p>
      <w:pPr>
        <w:spacing w:before="156" w:after="156"/>
        <w:ind w:firstLine="198" w:firstLineChars="55"/>
        <w:jc w:val="center"/>
        <w:rPr>
          <w:rFonts w:eastAsia="华文中宋" w:cs="Times New Roman"/>
          <w:b/>
          <w:color w:val="FF0000"/>
          <w:sz w:val="36"/>
          <w:szCs w:val="36"/>
        </w:rPr>
      </w:pPr>
    </w:p>
    <w:p>
      <w:pPr>
        <w:spacing w:before="156" w:after="156"/>
        <w:ind w:firstLine="198" w:firstLineChars="55"/>
        <w:jc w:val="center"/>
        <w:rPr>
          <w:rFonts w:eastAsia="华文中宋" w:cs="Times New Roman"/>
          <w:b/>
          <w:color w:val="FF0000"/>
          <w:sz w:val="36"/>
          <w:szCs w:val="36"/>
        </w:rPr>
      </w:pPr>
    </w:p>
    <w:p>
      <w:pPr>
        <w:spacing w:before="156" w:after="156"/>
        <w:ind w:firstLine="198" w:firstLineChars="55"/>
        <w:jc w:val="center"/>
        <w:rPr>
          <w:rFonts w:eastAsia="华文中宋" w:cs="Times New Roman"/>
          <w:b/>
          <w:color w:val="FF0000"/>
          <w:sz w:val="36"/>
          <w:szCs w:val="36"/>
        </w:rPr>
      </w:pPr>
    </w:p>
    <w:p>
      <w:pPr>
        <w:spacing w:before="156" w:after="156"/>
        <w:ind w:firstLine="198" w:firstLineChars="55"/>
        <w:jc w:val="center"/>
        <w:rPr>
          <w:rFonts w:eastAsia="华文中宋" w:cs="Times New Roman"/>
          <w:b/>
          <w:color w:val="FF0000"/>
          <w:sz w:val="36"/>
          <w:szCs w:val="36"/>
        </w:rPr>
      </w:pPr>
    </w:p>
    <w:p>
      <w:pPr>
        <w:spacing w:before="156" w:after="156"/>
        <w:ind w:firstLine="198" w:firstLineChars="55"/>
        <w:jc w:val="center"/>
        <w:rPr>
          <w:rFonts w:eastAsia="华文中宋" w:cs="Times New Roman"/>
          <w:b/>
          <w:color w:val="FF0000"/>
          <w:sz w:val="36"/>
          <w:szCs w:val="36"/>
        </w:rPr>
      </w:pPr>
    </w:p>
    <w:p>
      <w:pPr>
        <w:spacing w:before="156" w:after="156"/>
        <w:ind w:firstLine="198" w:firstLineChars="55"/>
        <w:jc w:val="center"/>
        <w:rPr>
          <w:rFonts w:eastAsia="华文中宋" w:cs="Times New Roman"/>
          <w:b/>
          <w:color w:val="FF0000"/>
          <w:sz w:val="36"/>
          <w:szCs w:val="36"/>
        </w:rPr>
      </w:pPr>
    </w:p>
    <w:p>
      <w:pPr>
        <w:spacing w:before="156" w:after="156"/>
        <w:ind w:firstLine="198" w:firstLineChars="55"/>
        <w:jc w:val="center"/>
        <w:rPr>
          <w:rFonts w:eastAsia="华文中宋" w:cs="Times New Roman"/>
          <w:b/>
          <w:color w:val="FF0000"/>
          <w:sz w:val="36"/>
          <w:szCs w:val="36"/>
        </w:rPr>
      </w:pPr>
    </w:p>
    <w:p>
      <w:pPr>
        <w:spacing w:before="156" w:after="156"/>
        <w:ind w:firstLine="198" w:firstLineChars="55"/>
        <w:jc w:val="center"/>
        <w:rPr>
          <w:rFonts w:eastAsia="华文中宋" w:cs="Times New Roman"/>
          <w:b/>
          <w:color w:val="FF0000"/>
          <w:sz w:val="36"/>
          <w:szCs w:val="36"/>
        </w:rPr>
      </w:pPr>
    </w:p>
    <w:p>
      <w:pPr>
        <w:spacing w:before="156" w:after="156"/>
        <w:ind w:firstLine="198" w:firstLineChars="55"/>
        <w:jc w:val="center"/>
        <w:rPr>
          <w:rFonts w:eastAsia="华文中宋" w:cs="Times New Roman"/>
          <w:b/>
          <w:color w:val="FF0000"/>
          <w:sz w:val="36"/>
          <w:szCs w:val="36"/>
        </w:rPr>
      </w:pPr>
    </w:p>
    <w:p>
      <w:pPr>
        <w:spacing w:before="156" w:after="156"/>
        <w:ind w:left="0" w:leftChars="0" w:firstLine="0" w:firstLineChars="0"/>
        <w:jc w:val="both"/>
        <w:rPr>
          <w:rFonts w:eastAsia="华文中宋" w:cs="Times New Roman"/>
          <w:b/>
          <w:color w:val="auto"/>
          <w:sz w:val="36"/>
          <w:szCs w:val="36"/>
        </w:rPr>
      </w:pPr>
    </w:p>
    <w:p>
      <w:pPr>
        <w:pStyle w:val="2"/>
        <w:rPr>
          <w:rFonts w:cs="Times New Roman"/>
          <w:color w:val="auto"/>
          <w:szCs w:val="24"/>
          <w:lang w:val="zh-CN"/>
        </w:rPr>
      </w:pPr>
      <w:r>
        <w:rPr>
          <w:rFonts w:hint="eastAsia" w:cs="Times New Roman"/>
          <w:color w:val="auto"/>
          <w:szCs w:val="24"/>
          <w:lang w:val="zh-CN"/>
        </w:rPr>
        <w:t>地块位置</w:t>
      </w:r>
    </w:p>
    <w:p>
      <w:pPr>
        <w:widowControl/>
        <w:ind w:firstLine="480"/>
        <w:rPr>
          <w:rFonts w:hint="default" w:ascii="Times New Roman" w:hAnsi="Times New Roman" w:eastAsia="宋体" w:cs="Times New Roman"/>
          <w:color w:val="FF0000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color w:val="auto"/>
          <w:szCs w:val="24"/>
          <w:highlight w:val="none"/>
          <w:lang w:eastAsia="zh-CN"/>
        </w:rPr>
        <w:t>本次调查地块为</w:t>
      </w:r>
      <w:r>
        <w:rPr>
          <w:rFonts w:hint="eastAsia"/>
          <w:color w:val="auto"/>
          <w:sz w:val="24"/>
          <w:szCs w:val="24"/>
          <w:lang w:eastAsia="zh-CN"/>
        </w:rPr>
        <w:t>广元市托育综合服务中心、广元市妇幼保健院附属幼儿园项目地块</w:t>
      </w:r>
      <w:r>
        <w:rPr>
          <w:rFonts w:hint="default" w:ascii="Times New Roman" w:hAnsi="Times New Roman" w:eastAsia="宋体" w:cs="Times New Roman"/>
          <w:color w:val="auto"/>
          <w:szCs w:val="24"/>
          <w:highlight w:val="none"/>
          <w:lang w:eastAsia="zh-CN"/>
        </w:rPr>
        <w:t>，</w:t>
      </w:r>
      <w:r>
        <w:rPr>
          <w:rFonts w:hint="eastAsia"/>
          <w:color w:val="auto"/>
          <w:lang w:eastAsia="zh-CN"/>
        </w:rPr>
        <w:t>位于广元市利州区东坝街道栖凤社区二组，总面积约为7.07亩，地块中心坐标为：东经105.833621°，北纬32.439877°</w:t>
      </w:r>
      <w:r>
        <w:rPr>
          <w:rFonts w:hint="default" w:ascii="Times New Roman" w:hAnsi="Times New Roman" w:eastAsia="宋体" w:cs="Times New Roman"/>
          <w:color w:val="auto"/>
          <w:szCs w:val="24"/>
          <w:highlight w:val="none"/>
          <w:lang w:eastAsia="zh-CN"/>
        </w:rPr>
        <w:t>，其四至范围为：</w:t>
      </w:r>
      <w:r>
        <w:rPr>
          <w:rFonts w:hint="eastAsia" w:ascii="Times New Roman" w:hAnsi="Times New Roman" w:eastAsia="宋体" w:cs="Times New Roman"/>
          <w:color w:val="auto"/>
          <w:szCs w:val="24"/>
          <w:highlight w:val="none"/>
          <w:lang w:val="en-US" w:eastAsia="zh-CN"/>
        </w:rPr>
        <w:t>北至邻新建道路，东至鸿宇时代，南至广元市丝绸公司，西至丝绸路，</w:t>
      </w:r>
      <w:r>
        <w:rPr>
          <w:rFonts w:hint="eastAsia" w:ascii="Times New Roman" w:hAnsi="Times New Roman" w:eastAsia="宋体" w:cs="Times New Roman"/>
          <w:color w:val="auto"/>
          <w:szCs w:val="24"/>
          <w:highlight w:val="none"/>
          <w:lang w:eastAsia="zh-CN"/>
        </w:rPr>
        <w:t>地理位置详见附件</w:t>
      </w:r>
      <w:r>
        <w:rPr>
          <w:rFonts w:hint="eastAsia" w:ascii="Times New Roman" w:hAnsi="Times New Roman" w:eastAsia="宋体" w:cs="Times New Roman"/>
          <w:color w:val="auto"/>
          <w:szCs w:val="24"/>
          <w:highlight w:val="none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color w:val="auto"/>
          <w:szCs w:val="24"/>
          <w:highlight w:val="none"/>
          <w:lang w:eastAsia="zh-CN"/>
        </w:rPr>
        <w:t>。地块边界范围见图</w:t>
      </w:r>
      <w:r>
        <w:rPr>
          <w:rFonts w:hint="default" w:ascii="Times New Roman" w:hAnsi="Times New Roman" w:eastAsia="宋体" w:cs="Times New Roman"/>
          <w:color w:val="auto"/>
          <w:szCs w:val="24"/>
          <w:highlight w:val="none"/>
          <w:lang w:val="en-US" w:eastAsia="zh-CN"/>
        </w:rPr>
        <w:t>2.2-1</w:t>
      </w:r>
      <w:r>
        <w:rPr>
          <w:rFonts w:hint="default" w:ascii="Times New Roman" w:hAnsi="Times New Roman" w:eastAsia="宋体" w:cs="Times New Roman"/>
          <w:color w:val="auto"/>
          <w:szCs w:val="24"/>
          <w:highlight w:val="none"/>
          <w:lang w:eastAsia="zh-CN"/>
        </w:rPr>
        <w:t>和表</w:t>
      </w:r>
      <w:r>
        <w:rPr>
          <w:rFonts w:hint="default" w:ascii="Times New Roman" w:hAnsi="Times New Roman" w:eastAsia="宋体" w:cs="Times New Roman"/>
          <w:color w:val="auto"/>
          <w:szCs w:val="24"/>
          <w:highlight w:val="none"/>
          <w:lang w:val="en-US" w:eastAsia="zh-CN"/>
        </w:rPr>
        <w:t>2.2-1</w:t>
      </w:r>
      <w:r>
        <w:rPr>
          <w:rFonts w:hint="default" w:ascii="Times New Roman" w:hAnsi="Times New Roman" w:eastAsia="宋体" w:cs="Times New Roman"/>
          <w:color w:val="auto"/>
          <w:szCs w:val="24"/>
          <w:highlight w:val="none"/>
          <w:lang w:eastAsia="zh-CN"/>
        </w:rPr>
        <w:t>。</w:t>
      </w:r>
    </w:p>
    <w:p>
      <w:pPr>
        <w:pStyle w:val="3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firstLine="0" w:firstLineChars="0"/>
        <w:jc w:val="center"/>
        <w:textAlignment w:val="auto"/>
        <w:rPr>
          <w:rFonts w:hint="eastAsia" w:ascii="Times New Roman" w:hAnsi="Times New Roman" w:eastAsia="宋体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/>
          <w:b/>
          <w:bCs/>
          <w:color w:val="auto"/>
          <w:sz w:val="24"/>
          <w:szCs w:val="24"/>
          <w:highlight w:val="none"/>
          <w:lang w:val="en-US" w:eastAsia="zh-CN"/>
        </w:rPr>
        <w:t>表2.2-1  调查地块拐点坐标（CGCS2000）</w:t>
      </w:r>
    </w:p>
    <w:tbl>
      <w:tblPr>
        <w:tblStyle w:val="38"/>
        <w:tblW w:w="5000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4"/>
        <w:gridCol w:w="1384"/>
        <w:gridCol w:w="1384"/>
        <w:gridCol w:w="1384"/>
        <w:gridCol w:w="1384"/>
        <w:gridCol w:w="1386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Header/>
          <w:jc w:val="center"/>
        </w:trPr>
        <w:tc>
          <w:tcPr>
            <w:tcW w:w="833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auto"/>
                <w:spacing w:val="0"/>
                <w:position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pacing w:val="0"/>
                <w:position w:val="0"/>
                <w:sz w:val="24"/>
                <w:szCs w:val="24"/>
                <w:lang w:eastAsia="zh-CN"/>
              </w:rPr>
              <w:t>拐点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pacing w:val="0"/>
                <w:position w:val="0"/>
                <w:sz w:val="24"/>
                <w:szCs w:val="24"/>
              </w:rPr>
              <w:t>序号</w:t>
            </w:r>
          </w:p>
        </w:tc>
        <w:tc>
          <w:tcPr>
            <w:tcW w:w="833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auto"/>
                <w:spacing w:val="0"/>
                <w:positio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pacing w:val="0"/>
                <w:position w:val="0"/>
                <w:sz w:val="24"/>
                <w:szCs w:val="24"/>
                <w:lang w:val="en-US" w:eastAsia="zh-CN"/>
              </w:rPr>
              <w:t>X（m）</w:t>
            </w:r>
          </w:p>
        </w:tc>
        <w:tc>
          <w:tcPr>
            <w:tcW w:w="833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auto"/>
                <w:spacing w:val="0"/>
                <w:position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pacing w:val="0"/>
                <w:position w:val="0"/>
                <w:sz w:val="24"/>
                <w:szCs w:val="24"/>
                <w:lang w:val="en-US" w:eastAsia="zh-CN"/>
              </w:rPr>
              <w:t>Y（m）</w:t>
            </w:r>
          </w:p>
        </w:tc>
        <w:tc>
          <w:tcPr>
            <w:tcW w:w="833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auto"/>
                <w:spacing w:val="0"/>
                <w:kern w:val="2"/>
                <w:positio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pacing w:val="0"/>
                <w:position w:val="0"/>
                <w:sz w:val="24"/>
                <w:szCs w:val="24"/>
                <w:lang w:eastAsia="zh-CN"/>
              </w:rPr>
              <w:t>拐点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pacing w:val="0"/>
                <w:position w:val="0"/>
                <w:sz w:val="24"/>
                <w:szCs w:val="24"/>
              </w:rPr>
              <w:t>序号</w:t>
            </w:r>
          </w:p>
        </w:tc>
        <w:tc>
          <w:tcPr>
            <w:tcW w:w="833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auto"/>
                <w:spacing w:val="0"/>
                <w:kern w:val="2"/>
                <w:positio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pacing w:val="0"/>
                <w:position w:val="0"/>
                <w:sz w:val="24"/>
                <w:szCs w:val="24"/>
                <w:lang w:val="en-US" w:eastAsia="zh-CN"/>
              </w:rPr>
              <w:t>X（m）</w:t>
            </w:r>
          </w:p>
        </w:tc>
        <w:tc>
          <w:tcPr>
            <w:tcW w:w="834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auto"/>
                <w:spacing w:val="0"/>
                <w:kern w:val="2"/>
                <w:positio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pacing w:val="0"/>
                <w:position w:val="0"/>
                <w:sz w:val="24"/>
                <w:szCs w:val="24"/>
                <w:lang w:val="en-US" w:eastAsia="zh-CN"/>
              </w:rPr>
              <w:t>Y（m）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833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g1</w:t>
            </w:r>
          </w:p>
        </w:tc>
        <w:tc>
          <w:tcPr>
            <w:tcW w:w="833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3590973.607</w:t>
            </w:r>
          </w:p>
        </w:tc>
        <w:tc>
          <w:tcPr>
            <w:tcW w:w="833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35578449.540</w:t>
            </w:r>
          </w:p>
        </w:tc>
        <w:tc>
          <w:tcPr>
            <w:tcW w:w="833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g4</w:t>
            </w:r>
          </w:p>
        </w:tc>
        <w:tc>
          <w:tcPr>
            <w:tcW w:w="833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3590894.264</w:t>
            </w:r>
          </w:p>
        </w:tc>
        <w:tc>
          <w:tcPr>
            <w:tcW w:w="834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35578403.708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833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g2</w:t>
            </w:r>
          </w:p>
        </w:tc>
        <w:tc>
          <w:tcPr>
            <w:tcW w:w="833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3590928.251</w:t>
            </w:r>
          </w:p>
        </w:tc>
        <w:tc>
          <w:tcPr>
            <w:tcW w:w="833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35578320.823</w:t>
            </w:r>
          </w:p>
        </w:tc>
        <w:tc>
          <w:tcPr>
            <w:tcW w:w="833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g5</w:t>
            </w:r>
          </w:p>
        </w:tc>
        <w:tc>
          <w:tcPr>
            <w:tcW w:w="833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3590953.857</w:t>
            </w:r>
          </w:p>
        </w:tc>
        <w:tc>
          <w:tcPr>
            <w:tcW w:w="834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35578450.984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833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g3</w:t>
            </w:r>
          </w:p>
        </w:tc>
        <w:tc>
          <w:tcPr>
            <w:tcW w:w="833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3590922.924</w:t>
            </w:r>
          </w:p>
        </w:tc>
        <w:tc>
          <w:tcPr>
            <w:tcW w:w="833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35578321.653</w:t>
            </w:r>
          </w:p>
        </w:tc>
        <w:tc>
          <w:tcPr>
            <w:tcW w:w="833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g6</w:t>
            </w:r>
          </w:p>
        </w:tc>
        <w:tc>
          <w:tcPr>
            <w:tcW w:w="833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3590945.718</w:t>
            </w:r>
          </w:p>
        </w:tc>
        <w:tc>
          <w:tcPr>
            <w:tcW w:w="834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35578460.955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ascii="Times New Roman" w:hAnsi="Times New Roman"/>
          <w:color w:val="FF0000"/>
          <w:sz w:val="28"/>
          <w:szCs w:val="28"/>
        </w:rPr>
      </w:pPr>
      <w:r>
        <w:rPr>
          <w:color w:val="FF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4719955</wp:posOffset>
            </wp:positionH>
            <wp:positionV relativeFrom="paragraph">
              <wp:posOffset>43815</wp:posOffset>
            </wp:positionV>
            <wp:extent cx="539750" cy="539750"/>
            <wp:effectExtent l="0" t="0" r="12700" b="12700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73675" cy="3647440"/>
            <wp:effectExtent l="0" t="0" r="3175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ascii="Times New Roman" w:hAnsi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  <w:highlight w:val="none"/>
        </w:rPr>
        <w:t>图2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.2-1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  <w:highlight w:val="none"/>
        </w:rPr>
        <w:t xml:space="preserve">  </w:t>
      </w:r>
      <w:r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  <w:highlight w:val="none"/>
          <w:lang w:eastAsia="zh-CN"/>
        </w:rPr>
        <w:t>调查地块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拐点坐标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  <w:highlight w:val="none"/>
        </w:rPr>
        <w:t>图</w:t>
      </w:r>
    </w:p>
    <w:p>
      <w:pPr>
        <w:pStyle w:val="301"/>
        <w:rPr>
          <w:color w:val="auto"/>
        </w:rPr>
      </w:pPr>
    </w:p>
    <w:p>
      <w:pPr>
        <w:pStyle w:val="2"/>
        <w:rPr>
          <w:color w:val="auto"/>
          <w:lang w:val="zh-CN"/>
        </w:rPr>
      </w:pPr>
      <w:r>
        <w:rPr>
          <w:rFonts w:hint="eastAsia"/>
          <w:color w:val="auto"/>
          <w:lang w:val="zh-CN"/>
        </w:rPr>
        <w:t>地块现状简要描述</w:t>
      </w:r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地块北侧一直为居民住房，地块南侧在2012年7月以前均为农田，后来租赁给平桥废品收购站使用，平桥废品收购站主要收集周边可回收废品，储存在场地内，然后再转移至专门的废品处理公司。地块北侧居民共有6户人家，约20人，在2023年8月完成拆除，拆除后的建筑垃圾堆放在地块内，完成拆除的地块，被当地居民开荒进行种菜，地块上未开展过</w:t>
      </w:r>
      <w:r>
        <w:rPr>
          <w:rFonts w:hint="eastAsia"/>
          <w:color w:val="auto"/>
          <w:lang w:eastAsia="zh-CN"/>
        </w:rPr>
        <w:t>任何</w:t>
      </w:r>
      <w:r>
        <w:rPr>
          <w:rFonts w:hint="eastAsia"/>
          <w:color w:val="auto"/>
          <w:lang w:val="en-US" w:eastAsia="zh-CN"/>
        </w:rPr>
        <w:t>生产活动。</w:t>
      </w:r>
    </w:p>
    <w:p>
      <w:pPr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平桥废品收购站成立于2012年7月，占地面积约2亩，其中堆放区域面积约360m</w:t>
      </w:r>
      <w:r>
        <w:rPr>
          <w:rFonts w:hint="eastAsia"/>
          <w:vertAlign w:val="superscript"/>
          <w:lang w:val="en-US" w:eastAsia="zh-CN"/>
        </w:rPr>
        <w:t>2</w:t>
      </w:r>
      <w:r>
        <w:rPr>
          <w:rFonts w:hint="eastAsia"/>
          <w:lang w:val="en-US" w:eastAsia="zh-CN"/>
        </w:rPr>
        <w:t>，生活区约350m</w:t>
      </w:r>
      <w:r>
        <w:rPr>
          <w:rFonts w:hint="eastAsia"/>
          <w:vertAlign w:val="superscript"/>
          <w:lang w:val="en-US" w:eastAsia="zh-CN"/>
        </w:rPr>
        <w:t>2</w:t>
      </w:r>
      <w:r>
        <w:rPr>
          <w:rFonts w:hint="eastAsia"/>
          <w:lang w:val="en-US" w:eastAsia="zh-CN"/>
        </w:rPr>
        <w:t>，其余地方为空地，地块整体进行了硬化，硬化完好。</w:t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回收站概况</w:t>
      </w:r>
    </w:p>
    <w:p>
      <w:pPr>
        <w:bidi w:val="0"/>
        <w:rPr>
          <w:rFonts w:hint="default"/>
          <w:color w:val="FF0000"/>
          <w:lang w:val="en-US" w:eastAsia="zh-CN"/>
        </w:rPr>
      </w:pPr>
      <w:r>
        <w:rPr>
          <w:rFonts w:hint="eastAsia"/>
          <w:color w:val="auto"/>
          <w:lang w:val="en-US" w:eastAsia="zh-CN"/>
        </w:rPr>
        <w:t>平桥废品收购站成立于2012年7月，占地面积约2亩，其中堆放区域面积约300m</w:t>
      </w:r>
      <w:r>
        <w:rPr>
          <w:rFonts w:hint="eastAsia"/>
          <w:color w:val="auto"/>
          <w:vertAlign w:val="superscript"/>
          <w:lang w:val="en-US" w:eastAsia="zh-CN"/>
        </w:rPr>
        <w:t>2</w:t>
      </w:r>
      <w:r>
        <w:rPr>
          <w:rFonts w:hint="eastAsia"/>
          <w:color w:val="auto"/>
          <w:lang w:val="en-US" w:eastAsia="zh-CN"/>
        </w:rPr>
        <w:t>，主要收集周边可回收废品，储存在场地内，然后再转移至专门的废品处理公司。根据现场踏勘，废品回收站地面均进行硬化，且硬化完好。因土地征收，平桥废品收购站已于2023年12月完成拆除。</w:t>
      </w:r>
    </w:p>
    <w:p>
      <w:p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平桥废品收购站原地面均进行了硬化处理，废品均暂存在房屋内，具有防渗、防雨、防泄漏的功能。</w:t>
      </w:r>
    </w:p>
    <w:p>
      <w:pPr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color w:val="auto"/>
          <w:lang w:val="en-US" w:eastAsia="zh-CN"/>
        </w:rPr>
        <w:t>平桥废品收购站为个体商户，没有环评报告、环保验收报告、排污许可证。</w:t>
      </w:r>
    </w:p>
    <w:p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</w:pPr>
      <w:r>
        <w:rPr>
          <w:color w:val="auto"/>
          <w:highlight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4857115</wp:posOffset>
            </wp:positionH>
            <wp:positionV relativeFrom="paragraph">
              <wp:posOffset>46990</wp:posOffset>
            </wp:positionV>
            <wp:extent cx="396240" cy="396240"/>
            <wp:effectExtent l="0" t="0" r="3810" b="3810"/>
            <wp:wrapNone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71770" cy="3107055"/>
            <wp:effectExtent l="0" t="0" r="5080" b="1714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0" w:firstLineChars="0"/>
        <w:jc w:val="center"/>
        <w:textAlignment w:val="auto"/>
        <w:rPr>
          <w:rFonts w:hint="eastAsia" w:ascii="Times New Roman" w:hAnsi="Times New Roman" w:eastAsia="Times New Roman" w:cs="Times New Roman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eastAsia="Times New Roman" w:cs="Times New Roman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图2-1  地块平面布置图</w:t>
      </w:r>
    </w:p>
    <w:p>
      <w:pPr>
        <w:pStyle w:val="301"/>
        <w:rPr>
          <w:rFonts w:hint="eastAsia"/>
          <w:color w:val="FF0000"/>
        </w:rPr>
      </w:pPr>
    </w:p>
    <w:p>
      <w:pPr>
        <w:pStyle w:val="301"/>
        <w:rPr>
          <w:rFonts w:hint="eastAsia"/>
          <w:color w:val="FF0000"/>
        </w:rPr>
      </w:pPr>
    </w:p>
    <w:p>
      <w:pPr>
        <w:pStyle w:val="301"/>
        <w:rPr>
          <w:rFonts w:hint="eastAsia"/>
          <w:color w:val="FF0000"/>
        </w:rPr>
      </w:pPr>
    </w:p>
    <w:p>
      <w:pPr>
        <w:pStyle w:val="301"/>
        <w:rPr>
          <w:rFonts w:hint="eastAsia"/>
          <w:color w:val="FF0000"/>
        </w:rPr>
        <w:sectPr>
          <w:headerReference r:id="rId5" w:type="default"/>
          <w:footerReference r:id="rId6" w:type="default"/>
          <w:pgSz w:w="11906" w:h="16838"/>
          <w:pgMar w:top="1440" w:right="1800" w:bottom="1440" w:left="1800" w:header="850" w:footer="85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26" w:charSpace="0"/>
        </w:sectPr>
      </w:pPr>
    </w:p>
    <w:p>
      <w:pPr>
        <w:pStyle w:val="2"/>
        <w:rPr>
          <w:color w:val="auto"/>
        </w:rPr>
      </w:pPr>
      <w:r>
        <w:rPr>
          <w:rFonts w:hint="eastAsia"/>
          <w:color w:val="auto"/>
          <w:lang w:eastAsia="zh-CN"/>
        </w:rPr>
        <w:t>土壤检测</w:t>
      </w:r>
    </w:p>
    <w:p>
      <w:pPr>
        <w:pStyle w:val="3"/>
        <w:bidi w:val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土壤检测点位布设</w:t>
      </w:r>
    </w:p>
    <w:p>
      <w:pPr>
        <w:ind w:firstLine="480"/>
        <w:rPr>
          <w:rFonts w:hint="eastAsia"/>
          <w:color w:val="auto"/>
        </w:rPr>
      </w:pPr>
      <w:r>
        <w:rPr>
          <w:rFonts w:hint="eastAsia" w:cs="Times New Roman"/>
          <w:color w:val="auto"/>
          <w:lang w:val="en-US" w:eastAsia="zh-CN"/>
        </w:rPr>
        <w:t>本地块主要功能区为平桥废品收购站的堆放区，以及转移废品所经过的空地道路，故本次在堆放区、道路，以及周边空地各布设1个监测点位，再在周边未受到影响的区域布设一个对照点，监测布点图见图1</w:t>
      </w:r>
      <w:r>
        <w:rPr>
          <w:rFonts w:hint="eastAsia"/>
          <w:color w:val="auto"/>
        </w:rPr>
        <w:t>。</w:t>
      </w:r>
    </w:p>
    <w:p>
      <w:pPr>
        <w:pStyle w:val="301"/>
        <w:rPr>
          <w:rFonts w:hint="eastAsia"/>
          <w:color w:val="auto"/>
        </w:rPr>
      </w:pPr>
      <w:r>
        <w:rPr>
          <w:rFonts w:hint="eastAsia"/>
          <w:color w:val="auto"/>
        </w:rPr>
        <w:t>表</w:t>
      </w:r>
      <w:r>
        <w:rPr>
          <w:rFonts w:hint="eastAsia"/>
          <w:color w:val="auto"/>
          <w:lang w:val="en-US" w:eastAsia="zh-CN"/>
        </w:rPr>
        <w:t xml:space="preserve">3-1  </w:t>
      </w:r>
      <w:r>
        <w:rPr>
          <w:rFonts w:hint="eastAsia"/>
          <w:color w:val="auto"/>
        </w:rPr>
        <w:t>本项目土壤监测点位信息汇总</w:t>
      </w:r>
    </w:p>
    <w:tbl>
      <w:tblPr>
        <w:tblStyle w:val="38"/>
        <w:tblW w:w="5036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4"/>
        <w:gridCol w:w="1000"/>
        <w:gridCol w:w="1964"/>
        <w:gridCol w:w="1093"/>
        <w:gridCol w:w="261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Header/>
        </w:trPr>
        <w:tc>
          <w:tcPr>
            <w:tcW w:w="1017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采样位置</w:t>
            </w:r>
          </w:p>
        </w:tc>
        <w:tc>
          <w:tcPr>
            <w:tcW w:w="596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点位编号</w:t>
            </w:r>
          </w:p>
        </w:tc>
        <w:tc>
          <w:tcPr>
            <w:tcW w:w="1172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采样深度/m</w:t>
            </w:r>
          </w:p>
        </w:tc>
        <w:tc>
          <w:tcPr>
            <w:tcW w:w="652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样品数量</w:t>
            </w:r>
          </w:p>
        </w:tc>
        <w:tc>
          <w:tcPr>
            <w:tcW w:w="156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检测指标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Header/>
        </w:trPr>
        <w:tc>
          <w:tcPr>
            <w:tcW w:w="1017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FF0000"/>
                <w:sz w:val="21"/>
                <w:szCs w:val="21"/>
                <w:u w:val="none"/>
              </w:rPr>
            </w:pPr>
          </w:p>
        </w:tc>
        <w:tc>
          <w:tcPr>
            <w:tcW w:w="596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FF0000"/>
                <w:sz w:val="21"/>
                <w:szCs w:val="21"/>
                <w:u w:val="none"/>
              </w:rPr>
            </w:pPr>
          </w:p>
        </w:tc>
        <w:tc>
          <w:tcPr>
            <w:tcW w:w="117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65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156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FF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1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theme="minorBidi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theme="minorBidi"/>
                <w:sz w:val="21"/>
                <w:szCs w:val="21"/>
                <w:lang w:val="en-US" w:eastAsia="zh-CN" w:bidi="ar-SA"/>
              </w:rPr>
              <w:t>废品收购站堆放区</w:t>
            </w:r>
          </w:p>
        </w:tc>
        <w:tc>
          <w:tcPr>
            <w:tcW w:w="5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T1</w:t>
            </w:r>
          </w:p>
        </w:tc>
        <w:tc>
          <w:tcPr>
            <w:tcW w:w="117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0-0.5、0.5-2.0、2.0-3.0</w:t>
            </w:r>
          </w:p>
        </w:tc>
        <w:tc>
          <w:tcPr>
            <w:tcW w:w="65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560" w:type="pct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  <w:t>GB 36600基本45项、pH、氟化物和石油烃（C10-C40）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1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theme="minorBidi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theme="minorBidi"/>
                <w:sz w:val="21"/>
                <w:szCs w:val="21"/>
                <w:lang w:val="en-US" w:eastAsia="zh-CN" w:bidi="ar-SA"/>
              </w:rPr>
              <w:t>废品收购站道路</w:t>
            </w:r>
          </w:p>
        </w:tc>
        <w:tc>
          <w:tcPr>
            <w:tcW w:w="5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T2</w:t>
            </w:r>
          </w:p>
        </w:tc>
        <w:tc>
          <w:tcPr>
            <w:tcW w:w="117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0-0.5、0.5-2.0、2.0-3.0</w:t>
            </w:r>
          </w:p>
        </w:tc>
        <w:tc>
          <w:tcPr>
            <w:tcW w:w="65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560" w:type="pct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1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theme="minorBidi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theme="minorBidi"/>
                <w:sz w:val="21"/>
                <w:szCs w:val="21"/>
                <w:lang w:val="en-US" w:eastAsia="zh-CN" w:bidi="ar-SA"/>
              </w:rPr>
              <w:t>周边空地</w:t>
            </w:r>
          </w:p>
        </w:tc>
        <w:tc>
          <w:tcPr>
            <w:tcW w:w="5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T3</w:t>
            </w:r>
          </w:p>
        </w:tc>
        <w:tc>
          <w:tcPr>
            <w:tcW w:w="117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0-0.5、0.5-2.0、2.0-3.0</w:t>
            </w:r>
          </w:p>
        </w:tc>
        <w:tc>
          <w:tcPr>
            <w:tcW w:w="65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560" w:type="pct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1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theme="minorBidi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theme="minorBidi"/>
                <w:sz w:val="21"/>
                <w:szCs w:val="21"/>
                <w:lang w:val="en-US" w:eastAsia="zh-CN" w:bidi="ar-SA"/>
              </w:rPr>
              <w:t>对照点</w:t>
            </w:r>
          </w:p>
        </w:tc>
        <w:tc>
          <w:tcPr>
            <w:tcW w:w="5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D1</w:t>
            </w:r>
          </w:p>
        </w:tc>
        <w:tc>
          <w:tcPr>
            <w:tcW w:w="117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0-0.5</w:t>
            </w:r>
          </w:p>
        </w:tc>
        <w:tc>
          <w:tcPr>
            <w:tcW w:w="65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pct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bidi w:val="0"/>
        <w:ind w:left="0" w:leftChars="0" w:firstLine="0" w:firstLineChars="0"/>
        <w:rPr>
          <w:rFonts w:hint="default"/>
          <w:color w:val="FF0000"/>
          <w:lang w:val="en-US" w:eastAsia="zh-CN"/>
        </w:rPr>
      </w:pPr>
      <w:r>
        <w:drawing>
          <wp:inline distT="0" distB="0" distL="114300" distR="114300">
            <wp:extent cx="5268595" cy="3349625"/>
            <wp:effectExtent l="0" t="0" r="8255" b="31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1"/>
        <w:jc w:val="center"/>
        <w:rPr>
          <w:rFonts w:hint="default" w:eastAsia="宋体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  <w:t>图1 土壤与地下水监测布点图</w:t>
      </w:r>
    </w:p>
    <w:p>
      <w:pPr>
        <w:pStyle w:val="91"/>
        <w:jc w:val="both"/>
        <w:rPr>
          <w:rFonts w:hint="eastAsia"/>
          <w:color w:val="FF0000"/>
          <w:highlight w:val="yellow"/>
        </w:rPr>
      </w:pPr>
    </w:p>
    <w:p>
      <w:pPr>
        <w:pStyle w:val="91"/>
        <w:jc w:val="both"/>
        <w:rPr>
          <w:rFonts w:hint="eastAsia"/>
          <w:color w:val="FF0000"/>
          <w:highlight w:val="yellow"/>
        </w:rPr>
        <w:sectPr>
          <w:headerReference r:id="rId7" w:type="default"/>
          <w:footerReference r:id="rId8" w:type="default"/>
          <w:pgSz w:w="11906" w:h="16838"/>
          <w:pgMar w:top="1440" w:right="1800" w:bottom="1440" w:left="1800" w:header="850" w:footer="85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/>
          <w:cols w:space="425" w:num="1"/>
          <w:docGrid w:type="lines" w:linePitch="326" w:charSpace="0"/>
        </w:sectPr>
      </w:pPr>
    </w:p>
    <w:p>
      <w:pPr>
        <w:pStyle w:val="3"/>
        <w:bidi w:val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土壤检测分析方法</w:t>
      </w:r>
    </w:p>
    <w:p>
      <w:pPr>
        <w:ind w:left="0" w:leftChars="0" w:firstLine="0" w:firstLineChars="0"/>
        <w:jc w:val="center"/>
        <w:rPr>
          <w:rFonts w:hint="eastAsia"/>
          <w:b/>
          <w:bCs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eastAsia="zh-CN"/>
        </w:rPr>
        <w:t>表</w:t>
      </w:r>
      <w:r>
        <w:rPr>
          <w:rFonts w:hint="eastAsia"/>
          <w:b/>
          <w:bCs/>
          <w:color w:val="auto"/>
          <w:lang w:val="en-US" w:eastAsia="zh-CN"/>
        </w:rPr>
        <w:t>3-2  土壤检测分析方法</w:t>
      </w:r>
    </w:p>
    <w:tbl>
      <w:tblPr>
        <w:tblStyle w:val="39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5"/>
        <w:gridCol w:w="5391"/>
        <w:gridCol w:w="15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b/>
                <w:bCs/>
                <w:color w:val="auto"/>
                <w:sz w:val="21"/>
                <w:szCs w:val="21"/>
              </w:rPr>
            </w:pPr>
            <w:r>
              <w:rPr>
                <w:b/>
                <w:bCs/>
                <w:color w:val="auto"/>
                <w:sz w:val="21"/>
                <w:szCs w:val="21"/>
              </w:rPr>
              <w:t>监测项目</w:t>
            </w:r>
          </w:p>
        </w:tc>
        <w:tc>
          <w:tcPr>
            <w:tcW w:w="3162" w:type="pct"/>
            <w:vAlign w:val="center"/>
          </w:tcPr>
          <w:p>
            <w:pPr>
              <w:pStyle w:val="91"/>
              <w:rPr>
                <w:b/>
                <w:bCs/>
                <w:color w:val="auto"/>
                <w:sz w:val="21"/>
                <w:szCs w:val="21"/>
              </w:rPr>
            </w:pPr>
            <w:r>
              <w:rPr>
                <w:b/>
                <w:bCs/>
                <w:color w:val="auto"/>
                <w:sz w:val="21"/>
                <w:szCs w:val="21"/>
              </w:rPr>
              <w:t>方法来源</w:t>
            </w: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b/>
                <w:bCs/>
                <w:color w:val="auto"/>
                <w:sz w:val="21"/>
                <w:szCs w:val="21"/>
              </w:rPr>
            </w:pPr>
            <w:r>
              <w:rPr>
                <w:b/>
                <w:bCs/>
                <w:color w:val="auto"/>
                <w:sz w:val="21"/>
                <w:szCs w:val="21"/>
              </w:rPr>
              <w:t>检出限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砷</w:t>
            </w:r>
          </w:p>
        </w:tc>
        <w:tc>
          <w:tcPr>
            <w:tcW w:w="3162" w:type="pct"/>
            <w:vMerge w:val="restar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土壤和沉积物汞、砷、硒、铋、锑的测定</w:t>
            </w:r>
          </w:p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微波消解/原子荧光法HJ 680-2013</w:t>
            </w: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0.01mg/kg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汞</w:t>
            </w:r>
          </w:p>
        </w:tc>
        <w:tc>
          <w:tcPr>
            <w:tcW w:w="3162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0.002mg/kg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镉</w:t>
            </w:r>
          </w:p>
        </w:tc>
        <w:tc>
          <w:tcPr>
            <w:tcW w:w="3162" w:type="pct"/>
            <w:vMerge w:val="restar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土壤质量铅、镉的测定石墨炉原子吸收分光光度法GB/T I7141-1997</w:t>
            </w: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0.01mg/kg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铅</w:t>
            </w:r>
          </w:p>
        </w:tc>
        <w:tc>
          <w:tcPr>
            <w:tcW w:w="3162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0.1mg/kg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六价铬</w:t>
            </w:r>
          </w:p>
        </w:tc>
        <w:tc>
          <w:tcPr>
            <w:tcW w:w="3162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土壤和沉积物六价铬的测定碱溶液提取-火焰原子吸收分光光度法HJ 1082-2019</w:t>
            </w: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0.5mg/kg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铜</w:t>
            </w:r>
          </w:p>
        </w:tc>
        <w:tc>
          <w:tcPr>
            <w:tcW w:w="3162" w:type="pct"/>
            <w:vMerge w:val="restar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土壤和沉积物铜、锌、铅、镍、铬的测定火焰原子吸收分光光度法HJ 491-2019</w:t>
            </w: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lmg/kg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rFonts w:hint="default" w:eastAsia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铬</w:t>
            </w:r>
          </w:p>
        </w:tc>
        <w:tc>
          <w:tcPr>
            <w:tcW w:w="3162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rFonts w:hint="eastAsia" w:eastAsia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4</w:t>
            </w:r>
            <w:r>
              <w:rPr>
                <w:color w:val="auto"/>
                <w:sz w:val="21"/>
                <w:szCs w:val="21"/>
              </w:rPr>
              <w:t>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镍</w:t>
            </w:r>
          </w:p>
        </w:tc>
        <w:tc>
          <w:tcPr>
            <w:tcW w:w="3162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3mg/kg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四氯化碳</w:t>
            </w:r>
          </w:p>
        </w:tc>
        <w:tc>
          <w:tcPr>
            <w:tcW w:w="3162" w:type="pct"/>
            <w:vMerge w:val="restar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土壤和沉积物挥发性有机物的测定吹扫捕集／气相色谱-质谱法HJ 605-2011</w:t>
            </w: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0.0013mg/kg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氯仿</w:t>
            </w:r>
          </w:p>
        </w:tc>
        <w:tc>
          <w:tcPr>
            <w:tcW w:w="3162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0.0011mg/kg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氯甲</w:t>
            </w:r>
            <w:r>
              <w:rPr>
                <w:rFonts w:hint="eastAsia"/>
                <w:color w:val="auto"/>
                <w:sz w:val="21"/>
                <w:szCs w:val="21"/>
              </w:rPr>
              <w:t>烷</w:t>
            </w:r>
          </w:p>
        </w:tc>
        <w:tc>
          <w:tcPr>
            <w:tcW w:w="3162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0.0010mg/kg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1,1-二氯乙炕</w:t>
            </w:r>
          </w:p>
        </w:tc>
        <w:tc>
          <w:tcPr>
            <w:tcW w:w="3162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0.0012mg/kg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1,2-二氯乙院</w:t>
            </w:r>
          </w:p>
        </w:tc>
        <w:tc>
          <w:tcPr>
            <w:tcW w:w="3162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0.0013mg/kg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1,1-二氯乙烯</w:t>
            </w:r>
          </w:p>
        </w:tc>
        <w:tc>
          <w:tcPr>
            <w:tcW w:w="3162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0.0010mg/kg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顺式-1,2-二氯乙烯</w:t>
            </w:r>
          </w:p>
        </w:tc>
        <w:tc>
          <w:tcPr>
            <w:tcW w:w="3162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0.0013mg/kg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反式-1,2-二氯乙烯</w:t>
            </w:r>
          </w:p>
        </w:tc>
        <w:tc>
          <w:tcPr>
            <w:tcW w:w="3162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0.0014mg/kg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二氯甲院</w:t>
            </w:r>
          </w:p>
        </w:tc>
        <w:tc>
          <w:tcPr>
            <w:tcW w:w="3162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0.0015mg/kg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1,2-二氯丙烷</w:t>
            </w:r>
          </w:p>
        </w:tc>
        <w:tc>
          <w:tcPr>
            <w:tcW w:w="3162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0.0011mg/kg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1,1,1,2-四</w:t>
            </w:r>
          </w:p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氯乙烷</w:t>
            </w:r>
          </w:p>
        </w:tc>
        <w:tc>
          <w:tcPr>
            <w:tcW w:w="3162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0.0012mg/kg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1,1,2,2-四</w:t>
            </w:r>
          </w:p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氯乙院</w:t>
            </w:r>
          </w:p>
        </w:tc>
        <w:tc>
          <w:tcPr>
            <w:tcW w:w="3162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0.0012mg/kg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四氯乙烯</w:t>
            </w:r>
          </w:p>
        </w:tc>
        <w:tc>
          <w:tcPr>
            <w:tcW w:w="3162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0.0014mg/kg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1,1,1-二氯乙烷</w:t>
            </w:r>
          </w:p>
        </w:tc>
        <w:tc>
          <w:tcPr>
            <w:tcW w:w="3162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0.0013mg/kg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1,1,2-二氯乙烷</w:t>
            </w:r>
          </w:p>
        </w:tc>
        <w:tc>
          <w:tcPr>
            <w:tcW w:w="3162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0.0012mg/kg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三氯乙烯</w:t>
            </w:r>
          </w:p>
        </w:tc>
        <w:tc>
          <w:tcPr>
            <w:tcW w:w="3162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0.0012mg/kg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1,2,3-二氯丙烷</w:t>
            </w:r>
          </w:p>
        </w:tc>
        <w:tc>
          <w:tcPr>
            <w:tcW w:w="3162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0.0012mg/kg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氯乙烯</w:t>
            </w:r>
          </w:p>
        </w:tc>
        <w:tc>
          <w:tcPr>
            <w:tcW w:w="3162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0.0010mg/kg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苯</w:t>
            </w:r>
          </w:p>
        </w:tc>
        <w:tc>
          <w:tcPr>
            <w:tcW w:w="3162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0.0019mg/kg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氯苯</w:t>
            </w:r>
          </w:p>
        </w:tc>
        <w:tc>
          <w:tcPr>
            <w:tcW w:w="3162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0.0012mg/kg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1,2-二氯苯</w:t>
            </w:r>
          </w:p>
        </w:tc>
        <w:tc>
          <w:tcPr>
            <w:tcW w:w="3162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0.0015mg/kg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1,4-二氯苯</w:t>
            </w:r>
          </w:p>
        </w:tc>
        <w:tc>
          <w:tcPr>
            <w:tcW w:w="3162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0.0015mg/kg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乙苯</w:t>
            </w:r>
          </w:p>
        </w:tc>
        <w:tc>
          <w:tcPr>
            <w:tcW w:w="3162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0.0012mg/kg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苯乙烯</w:t>
            </w:r>
          </w:p>
        </w:tc>
        <w:tc>
          <w:tcPr>
            <w:tcW w:w="3162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0.001lmg/kg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甲苯</w:t>
            </w:r>
          </w:p>
        </w:tc>
        <w:tc>
          <w:tcPr>
            <w:tcW w:w="3162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0.0013mg/kg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间二甲苯+对二甲苯</w:t>
            </w:r>
          </w:p>
        </w:tc>
        <w:tc>
          <w:tcPr>
            <w:tcW w:w="3162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0.0012mg/kg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邻二甲苯</w:t>
            </w:r>
          </w:p>
        </w:tc>
        <w:tc>
          <w:tcPr>
            <w:tcW w:w="3162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0.0012mg/kg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苯胺</w:t>
            </w:r>
          </w:p>
        </w:tc>
        <w:tc>
          <w:tcPr>
            <w:tcW w:w="3162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土壤和沉积物 13种苯胺类和2种联苯胺类化合物的测定 液相色谱-三重四极杆质谱法HJ 1210-2021</w:t>
            </w: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002</w:t>
            </w:r>
            <w:r>
              <w:rPr>
                <w:color w:val="auto"/>
                <w:sz w:val="21"/>
                <w:szCs w:val="21"/>
              </w:rPr>
              <w:t>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硝基苯</w:t>
            </w:r>
          </w:p>
        </w:tc>
        <w:tc>
          <w:tcPr>
            <w:tcW w:w="3162" w:type="pct"/>
            <w:vMerge w:val="restar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土壤和沉积物半挥发性有机物的测定气相色谱-质谱法HJ 834-2017</w:t>
            </w: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0.09mg/kg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2-氯苯酚</w:t>
            </w:r>
          </w:p>
        </w:tc>
        <w:tc>
          <w:tcPr>
            <w:tcW w:w="3162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0.06mg/kg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苯并[a]蒽</w:t>
            </w:r>
          </w:p>
        </w:tc>
        <w:tc>
          <w:tcPr>
            <w:tcW w:w="3162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0.1mg/kg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苯并[a]芘</w:t>
            </w:r>
          </w:p>
        </w:tc>
        <w:tc>
          <w:tcPr>
            <w:tcW w:w="3162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0.1mg/kg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苯并[b]荧蔥</w:t>
            </w:r>
          </w:p>
        </w:tc>
        <w:tc>
          <w:tcPr>
            <w:tcW w:w="3162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0.2mg/kg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苯并[k]荧蔥</w:t>
            </w:r>
          </w:p>
        </w:tc>
        <w:tc>
          <w:tcPr>
            <w:tcW w:w="3162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0.1mg/kg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䓛</w:t>
            </w:r>
          </w:p>
        </w:tc>
        <w:tc>
          <w:tcPr>
            <w:tcW w:w="3162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0.1mg/kg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二苯并[a,h]蔥</w:t>
            </w:r>
          </w:p>
        </w:tc>
        <w:tc>
          <w:tcPr>
            <w:tcW w:w="3162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0.1mg/kg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苯并[1,2,3-cd]芘</w:t>
            </w:r>
          </w:p>
        </w:tc>
        <w:tc>
          <w:tcPr>
            <w:tcW w:w="3162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0.1mg/kg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萘</w:t>
            </w:r>
          </w:p>
        </w:tc>
        <w:tc>
          <w:tcPr>
            <w:tcW w:w="3162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0.09mg/kg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pH</w:t>
            </w:r>
          </w:p>
        </w:tc>
        <w:tc>
          <w:tcPr>
            <w:tcW w:w="3162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土壤pH值的测定电位法</w:t>
            </w:r>
            <w:r>
              <w:rPr>
                <w:rFonts w:hint="eastAsia"/>
                <w:color w:val="auto"/>
                <w:sz w:val="21"/>
                <w:szCs w:val="21"/>
              </w:rPr>
              <w:t xml:space="preserve"> </w:t>
            </w:r>
            <w:r>
              <w:rPr>
                <w:color w:val="auto"/>
                <w:sz w:val="21"/>
                <w:szCs w:val="21"/>
              </w:rPr>
              <w:t>HJ 962-2018</w:t>
            </w: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石油烃（C</w:t>
            </w:r>
            <w:r>
              <w:rPr>
                <w:color w:val="auto"/>
                <w:sz w:val="21"/>
                <w:szCs w:val="21"/>
                <w:vertAlign w:val="subscript"/>
              </w:rPr>
              <w:t>10</w:t>
            </w:r>
            <w:r>
              <w:rPr>
                <w:color w:val="auto"/>
                <w:sz w:val="21"/>
                <w:szCs w:val="21"/>
              </w:rPr>
              <w:t>-C</w:t>
            </w:r>
            <w:r>
              <w:rPr>
                <w:color w:val="auto"/>
                <w:sz w:val="21"/>
                <w:szCs w:val="21"/>
                <w:vertAlign w:val="subscript"/>
              </w:rPr>
              <w:t>40</w:t>
            </w:r>
            <w:r>
              <w:rPr>
                <w:color w:val="auto"/>
                <w:sz w:val="21"/>
                <w:szCs w:val="21"/>
              </w:rPr>
              <w:t>）</w:t>
            </w:r>
          </w:p>
        </w:tc>
        <w:tc>
          <w:tcPr>
            <w:tcW w:w="3162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土壤和沉积物石油</w:t>
            </w:r>
            <w:r>
              <w:rPr>
                <w:rFonts w:hint="eastAsia"/>
                <w:color w:val="auto"/>
                <w:sz w:val="21"/>
                <w:szCs w:val="21"/>
              </w:rPr>
              <w:t>烃</w:t>
            </w:r>
            <w:r>
              <w:rPr>
                <w:color w:val="auto"/>
                <w:sz w:val="21"/>
                <w:szCs w:val="21"/>
              </w:rPr>
              <w:t>（C</w:t>
            </w:r>
            <w:r>
              <w:rPr>
                <w:color w:val="auto"/>
                <w:sz w:val="21"/>
                <w:szCs w:val="21"/>
                <w:vertAlign w:val="subscript"/>
              </w:rPr>
              <w:t>10</w:t>
            </w:r>
            <w:r>
              <w:rPr>
                <w:color w:val="auto"/>
                <w:sz w:val="21"/>
                <w:szCs w:val="21"/>
              </w:rPr>
              <w:t>-C</w:t>
            </w:r>
            <w:r>
              <w:rPr>
                <w:color w:val="auto"/>
                <w:sz w:val="21"/>
                <w:szCs w:val="21"/>
                <w:vertAlign w:val="subscript"/>
              </w:rPr>
              <w:t>40</w:t>
            </w:r>
            <w:r>
              <w:rPr>
                <w:color w:val="auto"/>
                <w:sz w:val="21"/>
                <w:szCs w:val="21"/>
              </w:rPr>
              <w:t>）的测定气相色谱法HJ 1021-2019</w:t>
            </w: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6mg/kg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总</w:t>
            </w:r>
            <w:r>
              <w:rPr>
                <w:color w:val="auto"/>
                <w:sz w:val="21"/>
                <w:szCs w:val="21"/>
              </w:rPr>
              <w:t>氟化物</w:t>
            </w:r>
          </w:p>
        </w:tc>
        <w:tc>
          <w:tcPr>
            <w:tcW w:w="3162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土壤水溶性氟化物和总氟化物的测定离子选择电极法HJ 873-2017</w:t>
            </w: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0.7mg/kg</w:t>
            </w:r>
          </w:p>
        </w:tc>
      </w:tr>
    </w:tbl>
    <w:p>
      <w:pPr>
        <w:pStyle w:val="3"/>
        <w:bidi w:val="0"/>
        <w:rPr>
          <w:color w:val="auto"/>
          <w:highlight w:val="none"/>
        </w:rPr>
      </w:pPr>
      <w:r>
        <w:rPr>
          <w:rFonts w:hint="eastAsia"/>
          <w:color w:val="auto"/>
          <w:highlight w:val="none"/>
          <w:lang w:eastAsia="zh-CN"/>
        </w:rPr>
        <w:t>土壤检测质量控制要求</w:t>
      </w:r>
    </w:p>
    <w:p>
      <w:pPr>
        <w:pStyle w:val="4"/>
        <w:bidi w:val="0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采样质量控制要求</w:t>
      </w:r>
    </w:p>
    <w:p>
      <w:pPr>
        <w:numPr>
          <w:ilvl w:val="0"/>
          <w:numId w:val="3"/>
        </w:numPr>
        <w:ind w:firstLine="480" w:firstLineChars="200"/>
        <w:rPr>
          <w:rFonts w:hint="eastAsia"/>
          <w:color w:val="auto"/>
          <w:highlight w:val="none"/>
          <w:lang w:eastAsia="zh-CN"/>
        </w:rPr>
      </w:pPr>
      <w:r>
        <w:rPr>
          <w:rFonts w:hint="eastAsia"/>
          <w:color w:val="auto"/>
          <w:highlight w:val="none"/>
          <w:lang w:eastAsia="zh-CN"/>
        </w:rPr>
        <w:t>元素及理化项目：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color w:val="auto"/>
          <w:highlight w:val="none"/>
          <w:lang w:eastAsia="zh-CN"/>
        </w:rPr>
      </w:pPr>
      <w:r>
        <w:rPr>
          <w:rFonts w:hint="eastAsia"/>
          <w:color w:val="auto"/>
          <w:highlight w:val="none"/>
          <w:lang w:eastAsia="zh-CN"/>
        </w:rPr>
        <w:t>（1）采样平行样：每批次至少1个平行样，每个地块现场平行样品数＞项目总检测数的10%。</w:t>
      </w:r>
    </w:p>
    <w:p>
      <w:pPr>
        <w:numPr>
          <w:ilvl w:val="0"/>
          <w:numId w:val="0"/>
        </w:numPr>
        <w:ind w:firstLine="480" w:firstLineChars="200"/>
        <w:rPr>
          <w:rFonts w:hint="eastAsia" w:eastAsia="宋体"/>
          <w:color w:val="auto"/>
          <w:highlight w:val="none"/>
          <w:lang w:eastAsia="zh-CN"/>
        </w:rPr>
      </w:pPr>
      <w:r>
        <w:rPr>
          <w:rFonts w:hint="eastAsia"/>
          <w:color w:val="auto"/>
          <w:highlight w:val="none"/>
          <w:lang w:val="en-US" w:eastAsia="zh-CN"/>
        </w:rPr>
        <w:t>2）</w:t>
      </w:r>
      <w:r>
        <w:rPr>
          <w:rFonts w:hint="eastAsia"/>
          <w:color w:val="auto"/>
          <w:highlight w:val="none"/>
          <w:lang w:eastAsia="zh-CN"/>
        </w:rPr>
        <w:t>挥发性有机物：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color w:val="auto"/>
          <w:highlight w:val="none"/>
        </w:rPr>
      </w:pPr>
      <w:r>
        <w:rPr>
          <w:rFonts w:hint="eastAsia"/>
          <w:b w:val="0"/>
          <w:bCs/>
          <w:color w:val="auto"/>
          <w:highlight w:val="none"/>
          <w:lang w:eastAsia="zh-CN"/>
        </w:rPr>
        <w:t>（</w:t>
      </w:r>
      <w:r>
        <w:rPr>
          <w:rFonts w:hint="eastAsia"/>
          <w:b w:val="0"/>
          <w:bCs/>
          <w:color w:val="auto"/>
          <w:highlight w:val="none"/>
          <w:lang w:val="en-US" w:eastAsia="zh-CN"/>
        </w:rPr>
        <w:t>1</w:t>
      </w:r>
      <w:r>
        <w:rPr>
          <w:rFonts w:hint="eastAsia"/>
          <w:b w:val="0"/>
          <w:bCs/>
          <w:color w:val="auto"/>
          <w:highlight w:val="none"/>
          <w:lang w:eastAsia="zh-CN"/>
        </w:rPr>
        <w:t>）采样平行</w:t>
      </w:r>
      <w:r>
        <w:rPr>
          <w:rFonts w:hint="eastAsia"/>
          <w:color w:val="auto"/>
          <w:highlight w:val="none"/>
          <w:lang w:eastAsia="zh-CN"/>
        </w:rPr>
        <w:t>样</w:t>
      </w:r>
      <w:r>
        <w:rPr>
          <w:rFonts w:hint="eastAsia"/>
          <w:b w:val="0"/>
          <w:bCs/>
          <w:color w:val="auto"/>
          <w:highlight w:val="none"/>
          <w:lang w:eastAsia="zh-CN"/>
        </w:rPr>
        <w:t>：</w:t>
      </w:r>
      <w:r>
        <w:rPr>
          <w:rFonts w:hint="eastAsia"/>
          <w:color w:val="auto"/>
          <w:highlight w:val="none"/>
        </w:rPr>
        <w:t>每批次至少1个平行样，</w:t>
      </w:r>
      <w:r>
        <w:rPr>
          <w:rFonts w:hint="eastAsia"/>
          <w:color w:val="auto"/>
          <w:highlight w:val="none"/>
          <w:lang w:eastAsia="zh-CN"/>
        </w:rPr>
        <w:t>每个地块</w:t>
      </w:r>
      <w:r>
        <w:rPr>
          <w:rFonts w:hint="eastAsia"/>
          <w:color w:val="auto"/>
          <w:highlight w:val="none"/>
        </w:rPr>
        <w:t>现场平行样</w:t>
      </w:r>
      <w:r>
        <w:rPr>
          <w:rFonts w:hint="eastAsia"/>
          <w:color w:val="auto"/>
          <w:highlight w:val="none"/>
          <w:lang w:eastAsia="zh-CN"/>
        </w:rPr>
        <w:t>品数</w:t>
      </w:r>
      <w:r>
        <w:rPr>
          <w:rFonts w:hint="eastAsia"/>
          <w:color w:val="auto"/>
          <w:highlight w:val="none"/>
        </w:rPr>
        <w:t>＞项目总检测数的1</w:t>
      </w:r>
      <w:r>
        <w:rPr>
          <w:color w:val="auto"/>
          <w:highlight w:val="none"/>
        </w:rPr>
        <w:t>0%</w:t>
      </w:r>
      <w:r>
        <w:rPr>
          <w:rFonts w:hint="eastAsia"/>
          <w:color w:val="auto"/>
          <w:highlight w:val="none"/>
        </w:rPr>
        <w:t>。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  <w:lang w:eastAsia="zh-CN"/>
        </w:rPr>
        <w:t>（</w:t>
      </w:r>
      <w:r>
        <w:rPr>
          <w:rFonts w:hint="eastAsia"/>
          <w:color w:val="auto"/>
          <w:highlight w:val="none"/>
          <w:lang w:val="en-US" w:eastAsia="zh-CN"/>
        </w:rPr>
        <w:t>2</w:t>
      </w:r>
      <w:r>
        <w:rPr>
          <w:rFonts w:hint="eastAsia"/>
          <w:color w:val="auto"/>
          <w:highlight w:val="none"/>
          <w:lang w:eastAsia="zh-CN"/>
        </w:rPr>
        <w:t>）全程序空白样：每批次</w:t>
      </w:r>
      <w:r>
        <w:rPr>
          <w:rFonts w:hint="eastAsia"/>
          <w:color w:val="auto"/>
          <w:highlight w:val="none"/>
          <w:lang w:val="en-US" w:eastAsia="zh-CN"/>
        </w:rPr>
        <w:t>1</w:t>
      </w:r>
      <w:r>
        <w:rPr>
          <w:rFonts w:hint="eastAsia"/>
          <w:color w:val="auto"/>
          <w:highlight w:val="none"/>
          <w:lang w:eastAsia="zh-CN"/>
        </w:rPr>
        <w:t>个全程序空白样，一般每天</w:t>
      </w:r>
      <w:r>
        <w:rPr>
          <w:rFonts w:hint="eastAsia"/>
          <w:color w:val="auto"/>
          <w:highlight w:val="none"/>
          <w:lang w:val="en-US" w:eastAsia="zh-CN"/>
        </w:rPr>
        <w:t>1</w:t>
      </w:r>
      <w:r>
        <w:rPr>
          <w:rFonts w:hint="eastAsia"/>
          <w:color w:val="auto"/>
          <w:highlight w:val="none"/>
          <w:lang w:eastAsia="zh-CN"/>
        </w:rPr>
        <w:t>个样。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  <w:lang w:eastAsia="zh-CN"/>
        </w:rPr>
        <w:t>（</w:t>
      </w:r>
      <w:r>
        <w:rPr>
          <w:rFonts w:hint="eastAsia"/>
          <w:color w:val="auto"/>
          <w:highlight w:val="none"/>
          <w:lang w:val="en-US" w:eastAsia="zh-CN"/>
        </w:rPr>
        <w:t>3</w:t>
      </w:r>
      <w:r>
        <w:rPr>
          <w:rFonts w:hint="eastAsia"/>
          <w:color w:val="auto"/>
          <w:highlight w:val="none"/>
          <w:lang w:eastAsia="zh-CN"/>
        </w:rPr>
        <w:t>）运输空白样：每批次</w:t>
      </w:r>
      <w:r>
        <w:rPr>
          <w:rFonts w:hint="eastAsia"/>
          <w:color w:val="auto"/>
          <w:highlight w:val="none"/>
          <w:lang w:val="en-US" w:eastAsia="zh-CN"/>
        </w:rPr>
        <w:t>1</w:t>
      </w:r>
      <w:r>
        <w:rPr>
          <w:rFonts w:hint="eastAsia"/>
          <w:color w:val="auto"/>
          <w:highlight w:val="none"/>
          <w:lang w:eastAsia="zh-CN"/>
        </w:rPr>
        <w:t>个全程序空白样，一般每天</w:t>
      </w:r>
      <w:r>
        <w:rPr>
          <w:rFonts w:hint="eastAsia"/>
          <w:color w:val="auto"/>
          <w:highlight w:val="none"/>
          <w:lang w:val="en-US" w:eastAsia="zh-CN"/>
        </w:rPr>
        <w:t>1</w:t>
      </w:r>
      <w:r>
        <w:rPr>
          <w:rFonts w:hint="eastAsia"/>
          <w:color w:val="auto"/>
          <w:highlight w:val="none"/>
          <w:lang w:eastAsia="zh-CN"/>
        </w:rPr>
        <w:t>个样。</w:t>
      </w:r>
    </w:p>
    <w:p>
      <w:pPr>
        <w:pStyle w:val="301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jc w:val="both"/>
        <w:textAlignment w:val="auto"/>
        <w:rPr>
          <w:rFonts w:hint="eastAsia"/>
          <w:b w:val="0"/>
          <w:bCs/>
          <w:color w:val="auto"/>
          <w:highlight w:val="none"/>
          <w:lang w:val="en-US" w:eastAsia="zh-CN"/>
        </w:rPr>
      </w:pPr>
      <w:r>
        <w:rPr>
          <w:rFonts w:hint="eastAsia"/>
          <w:b w:val="0"/>
          <w:bCs/>
          <w:color w:val="auto"/>
          <w:highlight w:val="none"/>
          <w:lang w:val="en-US" w:eastAsia="zh-CN"/>
        </w:rPr>
        <w:t>半挥发性有机物：</w:t>
      </w:r>
    </w:p>
    <w:p>
      <w:pPr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color w:val="auto"/>
          <w:highlight w:val="none"/>
          <w:lang w:eastAsia="zh-CN"/>
        </w:rPr>
      </w:pPr>
      <w:r>
        <w:rPr>
          <w:rFonts w:hint="eastAsia"/>
          <w:color w:val="auto"/>
          <w:highlight w:val="none"/>
          <w:lang w:eastAsia="zh-CN"/>
        </w:rPr>
        <w:t>采样平行样：每批次至少1个平行样，每个地块现场平行样品数＞项目总检测数的10%。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color w:val="auto"/>
          <w:highlight w:val="none"/>
          <w:lang w:eastAsia="zh-CN"/>
        </w:rPr>
      </w:pPr>
      <w:r>
        <w:rPr>
          <w:rFonts w:hint="eastAsia"/>
          <w:b/>
          <w:bCs/>
          <w:color w:val="auto"/>
          <w:highlight w:val="none"/>
          <w:lang w:val="en-US" w:eastAsia="zh-CN"/>
        </w:rPr>
        <w:t>4）其他要求：上述未罗列的日常土壤采样质量控制要求，按照日常土壤采样质量控制要求执行。</w:t>
      </w:r>
    </w:p>
    <w:p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/>
        <w:textAlignment w:val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分析质量控制要求</w:t>
      </w:r>
    </w:p>
    <w:p>
      <w:pPr>
        <w:numPr>
          <w:ilvl w:val="0"/>
          <w:numId w:val="5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有证标准物质：有有证标准物质的参数，每批次样至少带1个有证标准物质。</w:t>
      </w:r>
    </w:p>
    <w:p>
      <w:pPr>
        <w:numPr>
          <w:ilvl w:val="0"/>
          <w:numId w:val="5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其余按照常规土壤检测质量控制要求及对应的分析方法要求执行，分析方法中要求的全部质量控制手段均需要严格执行，类型如实验室空白、加标回收、实验室平行、曲线中间点、替代物加标回收等，比例根据标准要求严格执行。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color w:val="FF0000"/>
          <w:lang w:eastAsia="zh-CN"/>
        </w:rPr>
      </w:pPr>
    </w:p>
    <w:p>
      <w:pPr>
        <w:pStyle w:val="301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 w:val="0"/>
          <w:bCs/>
          <w:color w:val="FF0000"/>
          <w:lang w:val="en-US" w:eastAsia="zh-CN"/>
        </w:rPr>
      </w:pPr>
    </w:p>
    <w:p>
      <w:pPr>
        <w:pStyle w:val="301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 w:val="0"/>
          <w:bCs/>
          <w:color w:val="FF0000"/>
          <w:lang w:val="en-US" w:eastAsia="zh-CN"/>
        </w:rPr>
        <w:sectPr>
          <w:pgSz w:w="11906" w:h="16838"/>
          <w:pgMar w:top="1440" w:right="1800" w:bottom="1440" w:left="1800" w:header="850" w:footer="85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/>
          <w:cols w:space="425" w:num="1"/>
          <w:docGrid w:type="lines" w:linePitch="326" w:charSpace="0"/>
        </w:sectPr>
      </w:pPr>
    </w:p>
    <w:p>
      <w:pPr>
        <w:pStyle w:val="2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textAlignment w:val="auto"/>
        <w:rPr>
          <w:color w:val="auto"/>
        </w:rPr>
      </w:pPr>
      <w:r>
        <w:rPr>
          <w:rFonts w:hint="eastAsia"/>
          <w:color w:val="auto"/>
          <w:lang w:eastAsia="zh-CN"/>
        </w:rPr>
        <w:t>地下水检测</w:t>
      </w:r>
    </w:p>
    <w:p>
      <w:pPr>
        <w:pStyle w:val="3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textAlignment w:val="auto"/>
        <w:rPr>
          <w:rFonts w:hint="eastAsia"/>
          <w:color w:val="auto"/>
          <w:lang w:eastAsia="zh-CN"/>
        </w:rPr>
      </w:pPr>
      <w:r>
        <w:rPr>
          <w:rFonts w:hint="eastAsia"/>
          <w:color w:val="auto"/>
          <w:lang w:eastAsia="zh-CN"/>
        </w:rPr>
        <w:t>地下水检测点位布设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/>
        <w:textAlignment w:val="auto"/>
        <w:rPr>
          <w:rFonts w:hint="default" w:eastAsia="宋体"/>
          <w:color w:val="auto"/>
          <w:lang w:val="en-US" w:eastAsia="zh-CN"/>
        </w:rPr>
      </w:pPr>
      <w:r>
        <w:rPr>
          <w:rFonts w:hint="eastAsia"/>
          <w:color w:val="auto"/>
        </w:rPr>
        <w:t>本项目在地块内设置</w:t>
      </w:r>
      <w:r>
        <w:rPr>
          <w:rFonts w:hint="eastAsia"/>
          <w:color w:val="auto"/>
          <w:lang w:val="en-US" w:eastAsia="zh-CN"/>
        </w:rPr>
        <w:t>2</w:t>
      </w:r>
      <w:r>
        <w:rPr>
          <w:rFonts w:hint="eastAsia"/>
          <w:color w:val="auto"/>
        </w:rPr>
        <w:t>个位地下水监测井（和土壤监测点共用），在</w:t>
      </w:r>
      <w:r>
        <w:rPr>
          <w:color w:val="auto"/>
        </w:rPr>
        <w:t>地块外西</w:t>
      </w:r>
      <w:r>
        <w:rPr>
          <w:rFonts w:hint="eastAsia"/>
          <w:color w:val="auto"/>
          <w:lang w:val="en-US" w:eastAsia="zh-CN"/>
        </w:rPr>
        <w:t>北</w:t>
      </w:r>
      <w:r>
        <w:rPr>
          <w:color w:val="auto"/>
        </w:rPr>
        <w:t>侧</w:t>
      </w:r>
      <w:r>
        <w:rPr>
          <w:rFonts w:hint="eastAsia"/>
          <w:color w:val="auto"/>
        </w:rPr>
        <w:t>设置本项目的对照监测点</w:t>
      </w:r>
      <w:r>
        <w:rPr>
          <w:rFonts w:hint="eastAsia"/>
          <w:color w:val="auto"/>
          <w:lang w:eastAsia="zh-CN"/>
        </w:rPr>
        <w:t>；</w:t>
      </w:r>
      <w:r>
        <w:rPr>
          <w:rFonts w:hint="eastAsia"/>
          <w:color w:val="auto"/>
          <w:lang w:val="en-US" w:eastAsia="zh-CN"/>
        </w:rPr>
        <w:t>深度为15米左右。</w:t>
      </w:r>
    </w:p>
    <w:p>
      <w:pPr>
        <w:pStyle w:val="301"/>
        <w:rPr>
          <w:color w:val="auto"/>
        </w:rPr>
      </w:pPr>
      <w:r>
        <w:rPr>
          <w:rFonts w:hint="eastAsia"/>
          <w:color w:val="auto"/>
        </w:rPr>
        <w:t>表</w:t>
      </w:r>
      <w:r>
        <w:rPr>
          <w:rFonts w:hint="eastAsia"/>
          <w:color w:val="auto"/>
          <w:lang w:val="en-US" w:eastAsia="zh-CN"/>
        </w:rPr>
        <w:t>4</w:t>
      </w:r>
      <w:r>
        <w:rPr>
          <w:color w:val="auto"/>
        </w:rPr>
        <w:t xml:space="preserve">-1  </w:t>
      </w:r>
      <w:r>
        <w:rPr>
          <w:rFonts w:hint="eastAsia"/>
          <w:color w:val="auto"/>
        </w:rPr>
        <w:t>地下水监测点点位位置</w:t>
      </w:r>
    </w:p>
    <w:tbl>
      <w:tblPr>
        <w:tblStyle w:val="38"/>
        <w:tblW w:w="49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2"/>
        <w:gridCol w:w="1784"/>
        <w:gridCol w:w="1025"/>
        <w:gridCol w:w="2711"/>
        <w:gridCol w:w="23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29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91"/>
              <w:jc w:val="center"/>
              <w:rPr>
                <w:b/>
                <w:bCs/>
                <w:color w:val="auto"/>
              </w:rPr>
            </w:pPr>
            <w:r>
              <w:rPr>
                <w:rFonts w:hint="eastAsia"/>
                <w:b/>
                <w:bCs/>
                <w:color w:val="auto"/>
              </w:rPr>
              <w:t>序号</w:t>
            </w:r>
          </w:p>
        </w:tc>
        <w:tc>
          <w:tcPr>
            <w:tcW w:w="1072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91"/>
              <w:jc w:val="center"/>
              <w:rPr>
                <w:b/>
                <w:bCs/>
                <w:color w:val="auto"/>
              </w:rPr>
            </w:pPr>
            <w:r>
              <w:rPr>
                <w:rFonts w:hint="eastAsia"/>
                <w:b/>
                <w:bCs/>
                <w:color w:val="auto"/>
              </w:rPr>
              <w:t>点位位置</w:t>
            </w:r>
          </w:p>
        </w:tc>
        <w:tc>
          <w:tcPr>
            <w:tcW w:w="616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91"/>
              <w:jc w:val="center"/>
              <w:rPr>
                <w:b/>
                <w:bCs/>
                <w:color w:val="auto"/>
              </w:rPr>
            </w:pPr>
            <w:r>
              <w:rPr>
                <w:rFonts w:hint="eastAsia"/>
                <w:b/>
                <w:bCs/>
                <w:color w:val="auto"/>
              </w:rPr>
              <w:t>点位编号</w:t>
            </w:r>
          </w:p>
        </w:tc>
        <w:tc>
          <w:tcPr>
            <w:tcW w:w="1629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91"/>
              <w:jc w:val="center"/>
              <w:rPr>
                <w:b/>
                <w:bCs/>
                <w:color w:val="auto"/>
              </w:rPr>
            </w:pPr>
            <w:r>
              <w:rPr>
                <w:rFonts w:hint="eastAsia"/>
                <w:b/>
                <w:bCs/>
                <w:color w:val="auto"/>
              </w:rPr>
              <w:t>备注</w:t>
            </w:r>
          </w:p>
        </w:tc>
        <w:tc>
          <w:tcPr>
            <w:tcW w:w="1389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91"/>
              <w:jc w:val="center"/>
              <w:rPr>
                <w:rFonts w:hint="eastAsia" w:eastAsia="宋体"/>
                <w:b/>
                <w:bCs/>
                <w:color w:val="auto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</w:rPr>
              <w:t>检测指标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  <w:jc w:val="center"/>
        </w:trPr>
        <w:tc>
          <w:tcPr>
            <w:tcW w:w="290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91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072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91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616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91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62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91"/>
              <w:jc w:val="center"/>
              <w:rPr>
                <w:color w:val="auto"/>
              </w:rPr>
            </w:pPr>
          </w:p>
        </w:tc>
        <w:tc>
          <w:tcPr>
            <w:tcW w:w="138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91"/>
              <w:jc w:val="center"/>
              <w:rPr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  <w:jc w:val="center"/>
        </w:trPr>
        <w:tc>
          <w:tcPr>
            <w:tcW w:w="29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91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107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theme="minorBidi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cstheme="minorBidi"/>
                <w:sz w:val="21"/>
                <w:szCs w:val="21"/>
                <w:lang w:val="en-US" w:eastAsia="zh-CN" w:bidi="ar-SA"/>
              </w:rPr>
              <w:t>废品收购站堆放区</w:t>
            </w:r>
          </w:p>
        </w:tc>
        <w:tc>
          <w:tcPr>
            <w:tcW w:w="61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pStyle w:val="91"/>
              <w:ind w:firstLine="0" w:firstLineChars="0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lang w:val="en-US" w:eastAsia="zh-CN"/>
              </w:rPr>
              <w:t>S</w:t>
            </w:r>
            <w:r>
              <w:rPr>
                <w:color w:val="auto"/>
              </w:rPr>
              <w:t>1</w:t>
            </w:r>
          </w:p>
        </w:tc>
        <w:tc>
          <w:tcPr>
            <w:tcW w:w="162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pStyle w:val="91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新建，与</w:t>
            </w:r>
            <w:r>
              <w:rPr>
                <w:color w:val="auto"/>
              </w:rPr>
              <w:t>T</w:t>
            </w:r>
            <w:r>
              <w:rPr>
                <w:rFonts w:hint="eastAsia"/>
                <w:color w:val="auto"/>
                <w:lang w:val="en-US" w:eastAsia="zh-CN"/>
              </w:rPr>
              <w:t>1</w:t>
            </w:r>
            <w:r>
              <w:rPr>
                <w:rFonts w:hint="eastAsia"/>
                <w:color w:val="auto"/>
              </w:rPr>
              <w:t>为水土复合点</w:t>
            </w:r>
          </w:p>
        </w:tc>
        <w:tc>
          <w:tcPr>
            <w:tcW w:w="1389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91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272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GB14848常规指标（除放射性指标）37项+乙苯和二甲苯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29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91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107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theme="minorBidi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cstheme="minorBidi"/>
                <w:sz w:val="21"/>
                <w:szCs w:val="21"/>
                <w:lang w:val="en-US" w:eastAsia="zh-CN" w:bidi="ar-SA"/>
              </w:rPr>
              <w:t>废品收购站道路</w:t>
            </w:r>
          </w:p>
        </w:tc>
        <w:tc>
          <w:tcPr>
            <w:tcW w:w="61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pStyle w:val="91"/>
              <w:ind w:firstLine="0" w:firstLineChars="0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lang w:val="en-US" w:eastAsia="zh-CN"/>
              </w:rPr>
              <w:t>S</w:t>
            </w:r>
            <w:r>
              <w:rPr>
                <w:color w:val="auto"/>
              </w:rPr>
              <w:t>2</w:t>
            </w:r>
          </w:p>
        </w:tc>
        <w:tc>
          <w:tcPr>
            <w:tcW w:w="162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pStyle w:val="91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新建，与</w:t>
            </w:r>
            <w:r>
              <w:rPr>
                <w:color w:val="auto"/>
              </w:rPr>
              <w:t>T</w:t>
            </w:r>
            <w:r>
              <w:rPr>
                <w:rFonts w:hint="eastAsia"/>
                <w:color w:val="auto"/>
                <w:lang w:val="en-US" w:eastAsia="zh-CN"/>
              </w:rPr>
              <w:t>2</w:t>
            </w:r>
            <w:r>
              <w:rPr>
                <w:rFonts w:hint="eastAsia"/>
                <w:color w:val="auto"/>
              </w:rPr>
              <w:t>为水土复合点</w:t>
            </w:r>
          </w:p>
        </w:tc>
        <w:tc>
          <w:tcPr>
            <w:tcW w:w="138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91"/>
              <w:jc w:val="center"/>
              <w:rPr>
                <w:rFonts w:hint="eastAsia"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290" w:type="pct"/>
            <w:tcBorders>
              <w:tl2br w:val="nil"/>
              <w:tr2bl w:val="nil"/>
            </w:tcBorders>
            <w:vAlign w:val="center"/>
          </w:tcPr>
          <w:p>
            <w:pPr>
              <w:pStyle w:val="91"/>
              <w:jc w:val="center"/>
              <w:rPr>
                <w:rFonts w:hint="default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10</w:t>
            </w:r>
          </w:p>
        </w:tc>
        <w:tc>
          <w:tcPr>
            <w:tcW w:w="1072" w:type="pct"/>
            <w:tcBorders>
              <w:tl2br w:val="nil"/>
              <w:tr2bl w:val="nil"/>
            </w:tcBorders>
            <w:vAlign w:val="center"/>
          </w:tcPr>
          <w:p>
            <w:pPr>
              <w:pStyle w:val="91"/>
              <w:ind w:firstLine="0" w:firstLineChars="0"/>
              <w:jc w:val="center"/>
              <w:rPr>
                <w:rFonts w:hint="default" w:ascii="Times New Roman" w:hAnsi="Times New Roman" w:eastAsia="宋体" w:cs="宋体"/>
                <w:color w:val="auto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kern w:val="0"/>
                <w:sz w:val="21"/>
                <w:szCs w:val="24"/>
                <w:lang w:val="en-US" w:eastAsia="zh-CN" w:bidi="ar-SA"/>
              </w:rPr>
              <w:t>对照点</w:t>
            </w:r>
          </w:p>
        </w:tc>
        <w:tc>
          <w:tcPr>
            <w:tcW w:w="616" w:type="pct"/>
            <w:tcBorders>
              <w:tl2br w:val="nil"/>
              <w:tr2bl w:val="nil"/>
            </w:tcBorders>
            <w:vAlign w:val="center"/>
          </w:tcPr>
          <w:p>
            <w:pPr>
              <w:pStyle w:val="91"/>
              <w:ind w:firstLine="0" w:firstLineChars="0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lang w:val="en-US" w:eastAsia="zh-CN"/>
              </w:rPr>
              <w:t>S</w:t>
            </w:r>
            <w:r>
              <w:rPr>
                <w:rFonts w:hint="eastAsia"/>
                <w:color w:val="auto"/>
                <w:lang w:eastAsia="zh-CN"/>
              </w:rPr>
              <w:t>D</w:t>
            </w:r>
            <w:r>
              <w:rPr>
                <w:color w:val="auto"/>
              </w:rPr>
              <w:t>1</w:t>
            </w:r>
          </w:p>
        </w:tc>
        <w:tc>
          <w:tcPr>
            <w:tcW w:w="1629" w:type="pct"/>
            <w:tcBorders>
              <w:tl2br w:val="nil"/>
              <w:tr2bl w:val="nil"/>
            </w:tcBorders>
            <w:vAlign w:val="center"/>
          </w:tcPr>
          <w:p>
            <w:pPr>
              <w:pStyle w:val="91"/>
              <w:jc w:val="center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新建，与</w:t>
            </w:r>
            <w:r>
              <w:rPr>
                <w:color w:val="auto"/>
              </w:rPr>
              <w:t>T</w:t>
            </w:r>
            <w:r>
              <w:rPr>
                <w:rFonts w:hint="eastAsia"/>
                <w:color w:val="auto"/>
                <w:lang w:val="en-US" w:eastAsia="zh-CN"/>
              </w:rPr>
              <w:t>D1</w:t>
            </w:r>
            <w:r>
              <w:rPr>
                <w:rFonts w:hint="eastAsia"/>
                <w:color w:val="auto"/>
              </w:rPr>
              <w:t>为水土复合点</w:t>
            </w:r>
          </w:p>
        </w:tc>
        <w:tc>
          <w:tcPr>
            <w:tcW w:w="138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91"/>
              <w:jc w:val="center"/>
              <w:rPr>
                <w:rFonts w:hint="eastAsia"/>
                <w:color w:val="auto"/>
              </w:rPr>
            </w:pPr>
          </w:p>
        </w:tc>
      </w:tr>
    </w:tbl>
    <w:p>
      <w:pPr>
        <w:pStyle w:val="3"/>
        <w:bidi w:val="0"/>
        <w:rPr>
          <w:rFonts w:hint="eastAsia"/>
          <w:color w:val="auto"/>
          <w:lang w:eastAsia="zh-CN"/>
        </w:rPr>
      </w:pPr>
      <w:r>
        <w:rPr>
          <w:rFonts w:hint="eastAsia"/>
          <w:color w:val="auto"/>
          <w:lang w:eastAsia="zh-CN"/>
        </w:rPr>
        <w:t>地下水检测分析方法</w:t>
      </w:r>
    </w:p>
    <w:p>
      <w:pPr>
        <w:ind w:left="0" w:leftChars="0" w:firstLine="0" w:firstLineChars="0"/>
        <w:jc w:val="center"/>
        <w:rPr>
          <w:rFonts w:hint="eastAsia"/>
          <w:b/>
          <w:bCs/>
          <w:color w:val="auto"/>
          <w:lang w:eastAsia="zh-CN"/>
        </w:rPr>
      </w:pPr>
      <w:r>
        <w:rPr>
          <w:rFonts w:hint="eastAsia"/>
          <w:b/>
          <w:bCs/>
          <w:color w:val="auto"/>
          <w:lang w:eastAsia="zh-CN"/>
        </w:rPr>
        <w:t>表</w:t>
      </w:r>
      <w:r>
        <w:rPr>
          <w:rFonts w:hint="eastAsia"/>
          <w:b/>
          <w:bCs/>
          <w:color w:val="auto"/>
          <w:lang w:val="en-US" w:eastAsia="zh-CN"/>
        </w:rPr>
        <w:t xml:space="preserve">4-2  </w:t>
      </w:r>
      <w:r>
        <w:rPr>
          <w:rFonts w:hint="eastAsia"/>
          <w:b/>
          <w:bCs/>
          <w:color w:val="auto"/>
          <w:lang w:eastAsia="zh-CN"/>
        </w:rPr>
        <w:t>地下水检测分析方法</w:t>
      </w:r>
    </w:p>
    <w:tbl>
      <w:tblPr>
        <w:tblStyle w:val="39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2"/>
        <w:gridCol w:w="5244"/>
        <w:gridCol w:w="15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1022" w:type="pct"/>
            <w:vAlign w:val="center"/>
          </w:tcPr>
          <w:p>
            <w:pPr>
              <w:pStyle w:val="91"/>
              <w:rPr>
                <w:b/>
                <w:bCs/>
                <w:color w:val="auto"/>
                <w:sz w:val="21"/>
                <w:szCs w:val="21"/>
              </w:rPr>
            </w:pPr>
            <w:r>
              <w:rPr>
                <w:b/>
                <w:bCs/>
                <w:color w:val="auto"/>
                <w:sz w:val="21"/>
                <w:szCs w:val="21"/>
              </w:rPr>
              <w:t>监测项目</w:t>
            </w:r>
          </w:p>
        </w:tc>
        <w:tc>
          <w:tcPr>
            <w:tcW w:w="3076" w:type="pct"/>
            <w:vAlign w:val="center"/>
          </w:tcPr>
          <w:p>
            <w:pPr>
              <w:pStyle w:val="91"/>
              <w:rPr>
                <w:b/>
                <w:bCs/>
                <w:color w:val="auto"/>
                <w:sz w:val="21"/>
                <w:szCs w:val="21"/>
              </w:rPr>
            </w:pPr>
            <w:r>
              <w:rPr>
                <w:b/>
                <w:bCs/>
                <w:color w:val="auto"/>
                <w:sz w:val="21"/>
                <w:szCs w:val="21"/>
              </w:rPr>
              <w:t>方法来源</w:t>
            </w: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b/>
                <w:bCs/>
                <w:color w:val="auto"/>
                <w:sz w:val="21"/>
                <w:szCs w:val="21"/>
              </w:rPr>
            </w:pPr>
            <w:r>
              <w:rPr>
                <w:b/>
                <w:bCs/>
                <w:color w:val="auto"/>
                <w:sz w:val="21"/>
                <w:szCs w:val="21"/>
              </w:rPr>
              <w:t>检出限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22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  <w:lang w:bidi="zh-TW"/>
              </w:rPr>
              <w:t>色</w:t>
            </w:r>
            <w:r>
              <w:rPr>
                <w:color w:val="auto"/>
                <w:sz w:val="21"/>
                <w:szCs w:val="21"/>
                <w:lang w:val="zh-TW" w:eastAsia="zh-TW" w:bidi="zh-TW"/>
              </w:rPr>
              <w:t>度</w:t>
            </w:r>
          </w:p>
        </w:tc>
        <w:tc>
          <w:tcPr>
            <w:tcW w:w="307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水质 色度的测定 稀释倍数法HJ 1182-2021</w:t>
            </w: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rFonts w:hint="default" w:eastAsia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color w:val="auto"/>
                <w:sz w:val="21"/>
                <w:szCs w:val="21"/>
                <w:lang w:val="en-US" w:eastAsia="zh-CN" w:bidi="zh-TW"/>
              </w:rPr>
              <w:t>2倍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22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  <w:lang w:val="zh-TW" w:eastAsia="zh-TW" w:bidi="zh-TW"/>
              </w:rPr>
              <w:t>嗅和味/臭和味</w:t>
            </w:r>
          </w:p>
        </w:tc>
        <w:tc>
          <w:tcPr>
            <w:tcW w:w="3076" w:type="pct"/>
            <w:vAlign w:val="center"/>
          </w:tcPr>
          <w:p>
            <w:pPr>
              <w:pStyle w:val="91"/>
              <w:rPr>
                <w:color w:val="FF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文字描述法 《水和废水监测分析方法》（第四版）</w:t>
            </w: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rFonts w:eastAsia="PMingLiU"/>
                <w:color w:val="FF0000"/>
                <w:sz w:val="21"/>
                <w:szCs w:val="21"/>
              </w:rPr>
            </w:pPr>
            <w:r>
              <w:rPr>
                <w:rFonts w:eastAsia="PMingLiU"/>
                <w:color w:val="auto"/>
                <w:sz w:val="21"/>
                <w:szCs w:val="21"/>
                <w:lang w:val="zh-TW" w:eastAsia="zh-TW" w:bidi="zh-TW"/>
              </w:rPr>
              <w:t>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22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  <w:lang w:bidi="zh-TW"/>
              </w:rPr>
              <w:t>浑浊度</w:t>
            </w:r>
          </w:p>
        </w:tc>
        <w:tc>
          <w:tcPr>
            <w:tcW w:w="3076" w:type="pct"/>
            <w:vAlign w:val="center"/>
          </w:tcPr>
          <w:p>
            <w:pPr>
              <w:pStyle w:val="91"/>
              <w:rPr>
                <w:color w:val="FF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水质 浊度的测定 浊度计法HJ 1075-2019</w:t>
            </w: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FF0000"/>
                <w:sz w:val="21"/>
                <w:szCs w:val="21"/>
              </w:rPr>
            </w:pP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0.</w:t>
            </w:r>
            <w:r>
              <w:rPr>
                <w:rFonts w:hint="eastAsia" w:eastAsia="宋体"/>
                <w:color w:val="auto"/>
                <w:sz w:val="21"/>
                <w:szCs w:val="21"/>
                <w:lang w:val="en-US" w:eastAsia="zh-CN" w:bidi="en-US"/>
              </w:rPr>
              <w:t>3</w:t>
            </w: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NTU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22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  <w:lang w:val="zh-TW" w:eastAsia="zh-TW" w:bidi="zh-TW"/>
              </w:rPr>
              <w:t>肉眼可见物</w:t>
            </w:r>
          </w:p>
        </w:tc>
        <w:tc>
          <w:tcPr>
            <w:tcW w:w="307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  <w:lang w:val="zh-TW" w:eastAsia="zh-TW" w:bidi="zh-TW"/>
              </w:rPr>
              <w:t>生活饮用水标准检验方法感官性状和物理指标</w:t>
            </w:r>
          </w:p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GB/T 5750.4-20064.1</w:t>
            </w:r>
            <w:r>
              <w:rPr>
                <w:color w:val="auto"/>
                <w:sz w:val="21"/>
                <w:szCs w:val="21"/>
                <w:lang w:val="zh-TW" w:eastAsia="zh-TW" w:bidi="zh-TW"/>
              </w:rPr>
              <w:t>直接观察法</w:t>
            </w: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rFonts w:eastAsia="PMingLiU"/>
                <w:color w:val="auto"/>
                <w:sz w:val="21"/>
                <w:szCs w:val="21"/>
              </w:rPr>
            </w:pPr>
            <w:r>
              <w:rPr>
                <w:rFonts w:eastAsia="PMingLiU"/>
                <w:color w:val="auto"/>
                <w:sz w:val="21"/>
                <w:szCs w:val="21"/>
                <w:lang w:val="zh-TW" w:eastAsia="zh-TW" w:bidi="zh-TW"/>
              </w:rPr>
              <w:t>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22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  <w:lang w:bidi="en-US"/>
              </w:rPr>
              <w:t>p</w:t>
            </w: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H</w:t>
            </w:r>
          </w:p>
        </w:tc>
        <w:tc>
          <w:tcPr>
            <w:tcW w:w="307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  <w:lang w:val="zh-TW" w:eastAsia="zh-TW" w:bidi="zh-TW"/>
              </w:rPr>
              <w:t>水质</w:t>
            </w: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pH</w:t>
            </w:r>
            <w:r>
              <w:rPr>
                <w:color w:val="auto"/>
                <w:sz w:val="21"/>
                <w:szCs w:val="21"/>
                <w:lang w:val="zh-TW" w:eastAsia="zh-TW" w:bidi="zh-TW"/>
              </w:rPr>
              <w:t>值的测定</w:t>
            </w:r>
            <w:r>
              <w:rPr>
                <w:rFonts w:hint="eastAsia"/>
                <w:color w:val="auto"/>
                <w:sz w:val="21"/>
                <w:szCs w:val="21"/>
              </w:rPr>
              <w:t xml:space="preserve"> </w:t>
            </w:r>
            <w:r>
              <w:rPr>
                <w:color w:val="auto"/>
                <w:sz w:val="21"/>
                <w:szCs w:val="21"/>
                <w:lang w:val="zh-TW" w:eastAsia="zh-TW" w:bidi="zh-TW"/>
              </w:rPr>
              <w:t>电极法</w:t>
            </w: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HJ 1147-2020</w:t>
            </w: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rFonts w:eastAsia="PMingLiU"/>
                <w:color w:val="auto"/>
                <w:sz w:val="21"/>
                <w:szCs w:val="21"/>
              </w:rPr>
            </w:pPr>
            <w:r>
              <w:rPr>
                <w:rFonts w:eastAsia="PMingLiU"/>
                <w:color w:val="auto"/>
                <w:sz w:val="21"/>
                <w:szCs w:val="21"/>
                <w:lang w:val="zh-TW" w:eastAsia="zh-TW" w:bidi="zh-TW"/>
              </w:rPr>
              <w:t>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22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  <w:lang w:bidi="zh-TW"/>
              </w:rPr>
              <w:t>总硬度</w:t>
            </w:r>
            <w:r>
              <w:rPr>
                <w:color w:val="auto"/>
                <w:sz w:val="21"/>
                <w:szCs w:val="21"/>
                <w:lang w:val="zh-TW" w:bidi="zh-TW"/>
              </w:rPr>
              <w:t>（</w:t>
            </w:r>
            <w:r>
              <w:rPr>
                <w:color w:val="auto"/>
                <w:sz w:val="21"/>
                <w:szCs w:val="21"/>
                <w:lang w:val="zh-TW" w:eastAsia="zh-TW" w:bidi="zh-TW"/>
              </w:rPr>
              <w:t>以</w:t>
            </w:r>
          </w:p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Ca</w:t>
            </w:r>
            <w:r>
              <w:rPr>
                <w:color w:val="auto"/>
                <w:sz w:val="21"/>
                <w:szCs w:val="21"/>
                <w:lang w:bidi="en-US"/>
              </w:rPr>
              <w:t>CO</w:t>
            </w:r>
            <w:r>
              <w:rPr>
                <w:rFonts w:eastAsia="Times New Roman"/>
                <w:color w:val="auto"/>
                <w:sz w:val="21"/>
                <w:szCs w:val="21"/>
                <w:vertAlign w:val="subscript"/>
                <w:lang w:bidi="en-US"/>
              </w:rPr>
              <w:t>3</w:t>
            </w:r>
            <w:r>
              <w:rPr>
                <w:color w:val="auto"/>
                <w:sz w:val="21"/>
                <w:szCs w:val="21"/>
                <w:lang w:val="zh-TW" w:eastAsia="zh-TW" w:bidi="zh-TW"/>
              </w:rPr>
              <w:t>计</w:t>
            </w:r>
            <w:r>
              <w:rPr>
                <w:color w:val="auto"/>
                <w:sz w:val="21"/>
                <w:szCs w:val="21"/>
                <w:lang w:val="zh-TW" w:bidi="zh-TW"/>
              </w:rPr>
              <w:t>）</w:t>
            </w:r>
          </w:p>
        </w:tc>
        <w:tc>
          <w:tcPr>
            <w:tcW w:w="307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水质 钙和镁总量的测定 EDTA滴定法GB/T 7477-1987</w:t>
            </w: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1.0mg/L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22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  <w:lang w:val="zh-TW" w:eastAsia="zh-TW" w:bidi="zh-TW"/>
              </w:rPr>
              <w:t>溶解性总固体</w:t>
            </w:r>
          </w:p>
        </w:tc>
        <w:tc>
          <w:tcPr>
            <w:tcW w:w="307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103~105℃烘干的可滤残渣</w:t>
            </w:r>
            <w:r>
              <w:rPr>
                <w:rFonts w:hint="default"/>
                <w:color w:val="auto"/>
                <w:sz w:val="21"/>
                <w:szCs w:val="21"/>
              </w:rPr>
              <w:t xml:space="preserve"> </w:t>
            </w:r>
            <w:r>
              <w:rPr>
                <w:color w:val="auto"/>
                <w:sz w:val="21"/>
                <w:szCs w:val="21"/>
              </w:rPr>
              <w:t>《水和废水监测分析方法》（第四版）</w:t>
            </w: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rFonts w:eastAsia="PMingLiU"/>
                <w:color w:val="auto"/>
                <w:sz w:val="21"/>
                <w:szCs w:val="21"/>
              </w:rPr>
            </w:pPr>
            <w:r>
              <w:rPr>
                <w:rFonts w:eastAsia="PMingLiU"/>
                <w:color w:val="auto"/>
                <w:sz w:val="21"/>
                <w:szCs w:val="21"/>
                <w:lang w:val="zh-TW" w:eastAsia="zh-TW" w:bidi="zh-TW"/>
              </w:rPr>
              <w:t>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22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  <w:lang w:bidi="zh-TW"/>
              </w:rPr>
              <w:t>硫</w:t>
            </w:r>
            <w:r>
              <w:rPr>
                <w:color w:val="auto"/>
                <w:sz w:val="21"/>
                <w:szCs w:val="21"/>
                <w:lang w:val="zh-TW" w:eastAsia="zh-TW" w:bidi="zh-TW"/>
              </w:rPr>
              <w:t>酸盐</w:t>
            </w:r>
          </w:p>
        </w:tc>
        <w:tc>
          <w:tcPr>
            <w:tcW w:w="3076" w:type="pct"/>
            <w:vMerge w:val="restar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  <w:lang w:val="zh-TW" w:eastAsia="zh-TW" w:bidi="zh-TW"/>
              </w:rPr>
              <w:t>水质无机阴离子</w:t>
            </w:r>
            <w:r>
              <w:rPr>
                <w:color w:val="auto"/>
                <w:sz w:val="21"/>
                <w:szCs w:val="21"/>
                <w:lang w:bidi="en-US"/>
              </w:rPr>
              <w:t>（</w:t>
            </w: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F</w:t>
            </w:r>
            <w:r>
              <w:rPr>
                <w:color w:val="auto"/>
                <w:sz w:val="21"/>
                <w:szCs w:val="21"/>
                <w:vertAlign w:val="superscript"/>
                <w:lang w:bidi="en-US"/>
              </w:rPr>
              <w:t>-</w:t>
            </w:r>
            <w:r>
              <w:rPr>
                <w:color w:val="auto"/>
                <w:sz w:val="21"/>
                <w:szCs w:val="21"/>
                <w:lang w:bidi="en-US"/>
              </w:rPr>
              <w:t>、</w:t>
            </w: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Cl</w:t>
            </w:r>
            <w:r>
              <w:rPr>
                <w:rFonts w:eastAsia="Times New Roman"/>
                <w:color w:val="auto"/>
                <w:sz w:val="21"/>
                <w:szCs w:val="21"/>
                <w:vertAlign w:val="superscript"/>
                <w:lang w:bidi="en-US"/>
              </w:rPr>
              <w:t>-</w:t>
            </w:r>
            <w:r>
              <w:rPr>
                <w:color w:val="auto"/>
                <w:sz w:val="21"/>
                <w:szCs w:val="21"/>
                <w:lang w:bidi="en-US"/>
              </w:rPr>
              <w:t>、</w:t>
            </w: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NO</w:t>
            </w:r>
            <w:r>
              <w:rPr>
                <w:rFonts w:eastAsia="Times New Roman"/>
                <w:color w:val="auto"/>
                <w:sz w:val="21"/>
                <w:szCs w:val="21"/>
                <w:vertAlign w:val="subscript"/>
                <w:lang w:bidi="en-US"/>
              </w:rPr>
              <w:t>2</w:t>
            </w:r>
            <w:r>
              <w:rPr>
                <w:rFonts w:eastAsia="Times New Roman"/>
                <w:color w:val="auto"/>
                <w:sz w:val="21"/>
                <w:szCs w:val="21"/>
                <w:vertAlign w:val="superscript"/>
                <w:lang w:bidi="en-US"/>
              </w:rPr>
              <w:t>-</w:t>
            </w:r>
            <w:r>
              <w:rPr>
                <w:color w:val="auto"/>
                <w:sz w:val="21"/>
                <w:szCs w:val="21"/>
                <w:lang w:bidi="en-US"/>
              </w:rPr>
              <w:t>、</w:t>
            </w: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Br</w:t>
            </w:r>
            <w:r>
              <w:rPr>
                <w:color w:val="auto"/>
                <w:sz w:val="21"/>
                <w:szCs w:val="21"/>
                <w:lang w:bidi="en-US"/>
              </w:rPr>
              <w:t>、</w:t>
            </w: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NO</w:t>
            </w:r>
            <w:r>
              <w:rPr>
                <w:rFonts w:eastAsia="Times New Roman"/>
                <w:color w:val="auto"/>
                <w:sz w:val="21"/>
                <w:szCs w:val="21"/>
                <w:vertAlign w:val="subscript"/>
                <w:lang w:bidi="en-US"/>
              </w:rPr>
              <w:t>3</w:t>
            </w: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-</w:t>
            </w:r>
            <w:r>
              <w:rPr>
                <w:color w:val="auto"/>
                <w:sz w:val="21"/>
                <w:szCs w:val="21"/>
                <w:lang w:bidi="en-US"/>
              </w:rPr>
              <w:t>、PO</w:t>
            </w:r>
            <w:r>
              <w:rPr>
                <w:color w:val="auto"/>
                <w:sz w:val="21"/>
                <w:szCs w:val="21"/>
                <w:vertAlign w:val="subscript"/>
                <w:lang w:bidi="en-US"/>
              </w:rPr>
              <w:t>4</w:t>
            </w:r>
            <w:r>
              <w:rPr>
                <w:color w:val="auto"/>
                <w:sz w:val="21"/>
                <w:szCs w:val="21"/>
                <w:vertAlign w:val="superscript"/>
                <w:lang w:bidi="en-US"/>
              </w:rPr>
              <w:t>3</w:t>
            </w:r>
            <w:r>
              <w:rPr>
                <w:rFonts w:eastAsia="Times New Roman"/>
                <w:color w:val="auto"/>
                <w:sz w:val="21"/>
                <w:szCs w:val="21"/>
                <w:vertAlign w:val="superscript"/>
                <w:lang w:bidi="en-US"/>
              </w:rPr>
              <w:t>-</w:t>
            </w:r>
            <w:r>
              <w:rPr>
                <w:color w:val="auto"/>
                <w:sz w:val="21"/>
                <w:szCs w:val="21"/>
                <w:lang w:bidi="en-US"/>
              </w:rPr>
              <w:t>、SO</w:t>
            </w:r>
            <w:r>
              <w:rPr>
                <w:color w:val="auto"/>
                <w:sz w:val="21"/>
                <w:szCs w:val="21"/>
                <w:vertAlign w:val="subscript"/>
                <w:lang w:bidi="en-US"/>
              </w:rPr>
              <w:t>3</w:t>
            </w:r>
            <w:r>
              <w:rPr>
                <w:color w:val="auto"/>
                <w:sz w:val="21"/>
                <w:szCs w:val="21"/>
                <w:vertAlign w:val="superscript"/>
                <w:lang w:bidi="en-US"/>
              </w:rPr>
              <w:t>2-</w:t>
            </w:r>
            <w:r>
              <w:rPr>
                <w:color w:val="auto"/>
                <w:sz w:val="21"/>
                <w:szCs w:val="21"/>
                <w:lang w:bidi="en-US"/>
              </w:rPr>
              <w:t>、</w:t>
            </w: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SO</w:t>
            </w:r>
            <w:r>
              <w:rPr>
                <w:rFonts w:eastAsia="Times New Roman"/>
                <w:color w:val="auto"/>
                <w:sz w:val="21"/>
                <w:szCs w:val="21"/>
                <w:vertAlign w:val="subscript"/>
                <w:lang w:bidi="en-US"/>
              </w:rPr>
              <w:t>4</w:t>
            </w:r>
            <w:r>
              <w:rPr>
                <w:rFonts w:eastAsia="Times New Roman"/>
                <w:color w:val="auto"/>
                <w:sz w:val="21"/>
                <w:szCs w:val="21"/>
                <w:vertAlign w:val="superscript"/>
                <w:lang w:bidi="en-US"/>
              </w:rPr>
              <w:t>2</w:t>
            </w:r>
            <w:r>
              <w:rPr>
                <w:color w:val="auto"/>
                <w:sz w:val="21"/>
                <w:szCs w:val="21"/>
                <w:vertAlign w:val="superscript"/>
                <w:lang w:bidi="en-US"/>
              </w:rPr>
              <w:t>-</w:t>
            </w:r>
            <w:r>
              <w:rPr>
                <w:color w:val="auto"/>
                <w:sz w:val="21"/>
                <w:szCs w:val="21"/>
                <w:lang w:bidi="en-US"/>
              </w:rPr>
              <w:t>）</w:t>
            </w:r>
            <w:r>
              <w:rPr>
                <w:color w:val="auto"/>
                <w:sz w:val="21"/>
                <w:szCs w:val="21"/>
                <w:lang w:val="zh-TW" w:eastAsia="zh-TW" w:bidi="zh-TW"/>
              </w:rPr>
              <w:t>的测定离子色谱法</w:t>
            </w: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HJ 84-2016</w:t>
            </w: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0.018mg/L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22" w:type="pct"/>
            <w:vAlign w:val="center"/>
          </w:tcPr>
          <w:p>
            <w:pPr>
              <w:pStyle w:val="91"/>
              <w:ind w:firstLine="0" w:firstLineChars="0"/>
              <w:rPr>
                <w:rFonts w:ascii="Times New Roman" w:hAnsi="Times New Roman" w:eastAsia="宋体" w:cs="宋体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color w:val="auto"/>
                <w:sz w:val="21"/>
                <w:szCs w:val="21"/>
                <w:lang w:val="zh-TW" w:eastAsia="zh-TW" w:bidi="zh-TW"/>
              </w:rPr>
              <w:t>硝酸盐</w:t>
            </w:r>
          </w:p>
        </w:tc>
        <w:tc>
          <w:tcPr>
            <w:tcW w:w="3076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  <w:lang w:val="zh-TW" w:eastAsia="zh-TW" w:bidi="zh-TW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ind w:firstLine="0" w:firstLineChars="0"/>
              <w:rPr>
                <w:rFonts w:ascii="Times New Roman" w:hAnsi="Times New Roman" w:eastAsia="宋体" w:cs="宋体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0.004mg/L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22" w:type="pct"/>
            <w:vAlign w:val="center"/>
          </w:tcPr>
          <w:p>
            <w:pPr>
              <w:pStyle w:val="91"/>
              <w:ind w:firstLine="0" w:firstLineChars="0"/>
              <w:rPr>
                <w:rFonts w:hint="eastAsia" w:eastAsia="宋体"/>
                <w:color w:val="auto"/>
                <w:sz w:val="21"/>
                <w:szCs w:val="21"/>
                <w:lang w:val="en-US" w:eastAsia="zh-CN" w:bidi="zh-TW"/>
              </w:rPr>
            </w:pPr>
            <w:r>
              <w:rPr>
                <w:color w:val="auto"/>
                <w:sz w:val="21"/>
                <w:szCs w:val="21"/>
                <w:lang w:bidi="zh-TW"/>
              </w:rPr>
              <w:t>亚硝酸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 w:bidi="zh-TW"/>
              </w:rPr>
              <w:t>盐</w:t>
            </w:r>
          </w:p>
        </w:tc>
        <w:tc>
          <w:tcPr>
            <w:tcW w:w="3076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  <w:lang w:val="zh-TW" w:eastAsia="zh-TW" w:bidi="zh-TW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ind w:firstLine="0" w:firstLineChars="0"/>
              <w:rPr>
                <w:rFonts w:eastAsia="Times New Roman"/>
                <w:color w:val="auto"/>
                <w:sz w:val="21"/>
                <w:szCs w:val="21"/>
                <w:lang w:bidi="en-US"/>
              </w:rPr>
            </w:pPr>
            <w:r>
              <w:rPr>
                <w:rFonts w:hint="eastAsia" w:eastAsia="Times New Roman"/>
                <w:color w:val="auto"/>
                <w:sz w:val="21"/>
                <w:szCs w:val="21"/>
                <w:lang w:bidi="en-US"/>
              </w:rPr>
              <w:t>0.016</w:t>
            </w: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mg/L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22" w:type="pct"/>
            <w:vAlign w:val="center"/>
          </w:tcPr>
          <w:p>
            <w:pPr>
              <w:pStyle w:val="91"/>
              <w:ind w:firstLine="0" w:firstLineChars="0"/>
              <w:rPr>
                <w:rFonts w:ascii="Times New Roman" w:hAnsi="Times New Roman" w:eastAsia="宋体" w:cs="宋体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color w:val="auto"/>
                <w:sz w:val="21"/>
                <w:szCs w:val="21"/>
                <w:lang w:val="zh-TW" w:eastAsia="zh-TW" w:bidi="zh-TW"/>
              </w:rPr>
              <w:t>氟化物</w:t>
            </w:r>
          </w:p>
        </w:tc>
        <w:tc>
          <w:tcPr>
            <w:tcW w:w="3076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  <w:lang w:val="zh-TW" w:eastAsia="zh-TW" w:bidi="zh-TW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ind w:firstLine="0" w:firstLineChars="0"/>
              <w:rPr>
                <w:rFonts w:ascii="Times New Roman" w:hAnsi="Times New Roman" w:eastAsia="宋体" w:cs="宋体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0.006mg/L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22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氯化物</w:t>
            </w:r>
          </w:p>
        </w:tc>
        <w:tc>
          <w:tcPr>
            <w:tcW w:w="3076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0.007mg/L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22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  <w:lang w:val="zh-TW" w:eastAsia="zh-TW" w:bidi="zh-TW"/>
              </w:rPr>
              <w:t>铁</w:t>
            </w:r>
          </w:p>
        </w:tc>
        <w:tc>
          <w:tcPr>
            <w:tcW w:w="3076" w:type="pct"/>
            <w:vMerge w:val="restar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水质 32种元素的测定 电感耦合等离子体发射光谱法HJ 776-2015</w:t>
            </w:r>
          </w:p>
        </w:tc>
        <w:tc>
          <w:tcPr>
            <w:tcW w:w="90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iCs/>
                <w:color w:val="auto"/>
                <w:sz w:val="21"/>
                <w:szCs w:val="21"/>
              </w:rPr>
              <w:t>0.0</w:t>
            </w:r>
            <w:r>
              <w:rPr>
                <w:rFonts w:hint="eastAsia" w:cs="Times New Roman"/>
                <w:iCs/>
                <w:color w:val="auto"/>
                <w:sz w:val="21"/>
                <w:szCs w:val="21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mg/L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22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  <w:lang w:val="zh-TW" w:eastAsia="zh-TW" w:bidi="zh-TW"/>
              </w:rPr>
            </w:pPr>
            <w:r>
              <w:rPr>
                <w:color w:val="auto"/>
                <w:sz w:val="21"/>
                <w:szCs w:val="21"/>
                <w:lang w:val="zh-TW" w:eastAsia="zh-TW" w:bidi="zh-TW"/>
              </w:rPr>
              <w:t>铝</w:t>
            </w:r>
          </w:p>
        </w:tc>
        <w:tc>
          <w:tcPr>
            <w:tcW w:w="3076" w:type="pct"/>
            <w:vMerge w:val="continue"/>
            <w:vAlign w:val="center"/>
          </w:tcPr>
          <w:p>
            <w:pPr>
              <w:pStyle w:val="91"/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i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0.0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09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mg/L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22" w:type="pct"/>
            <w:vAlign w:val="center"/>
          </w:tcPr>
          <w:p>
            <w:pPr>
              <w:pStyle w:val="91"/>
              <w:rPr>
                <w:rFonts w:hint="eastAsia" w:eastAsia="宋体"/>
                <w:color w:val="auto"/>
                <w:sz w:val="21"/>
                <w:szCs w:val="21"/>
                <w:lang w:val="en-US" w:eastAsia="zh-CN" w:bidi="zh-TW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 w:bidi="zh-TW"/>
              </w:rPr>
              <w:t>钠</w:t>
            </w:r>
          </w:p>
        </w:tc>
        <w:tc>
          <w:tcPr>
            <w:tcW w:w="3076" w:type="pct"/>
            <w:vMerge w:val="continue"/>
            <w:vAlign w:val="center"/>
          </w:tcPr>
          <w:p>
            <w:pPr>
              <w:pStyle w:val="91"/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iCs/>
                <w:color w:val="auto"/>
                <w:sz w:val="21"/>
                <w:szCs w:val="21"/>
                <w:lang w:val="en-US" w:eastAsia="zh-CN"/>
              </w:rPr>
              <w:t>0.03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mg/L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22" w:type="pct"/>
            <w:vAlign w:val="center"/>
          </w:tcPr>
          <w:p>
            <w:pPr>
              <w:pStyle w:val="91"/>
              <w:rPr>
                <w:rFonts w:hint="default"/>
                <w:color w:val="auto"/>
                <w:sz w:val="21"/>
                <w:szCs w:val="21"/>
                <w:lang w:eastAsia="zh-CN" w:bidi="zh-TW"/>
              </w:rPr>
            </w:pPr>
            <w:r>
              <w:rPr>
                <w:rFonts w:hint="default"/>
                <w:color w:val="auto"/>
                <w:sz w:val="21"/>
                <w:szCs w:val="21"/>
                <w:lang w:eastAsia="zh-CN" w:bidi="zh-TW"/>
              </w:rPr>
              <w:t>铬</w:t>
            </w:r>
          </w:p>
        </w:tc>
        <w:tc>
          <w:tcPr>
            <w:tcW w:w="3076" w:type="pct"/>
            <w:vMerge w:val="continue"/>
            <w:vAlign w:val="center"/>
          </w:tcPr>
          <w:p>
            <w:pPr>
              <w:pStyle w:val="91"/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cs="Times New Roman"/>
                <w:i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Cs/>
                <w:color w:val="auto"/>
                <w:sz w:val="21"/>
                <w:szCs w:val="21"/>
                <w:lang w:val="en-US" w:eastAsia="zh-CN"/>
              </w:rPr>
              <w:t>0.03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mg/L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22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锰</w:t>
            </w:r>
          </w:p>
        </w:tc>
        <w:tc>
          <w:tcPr>
            <w:tcW w:w="3076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iCs/>
                <w:color w:val="auto"/>
                <w:sz w:val="21"/>
                <w:szCs w:val="21"/>
              </w:rPr>
              <w:t>0.0</w:t>
            </w:r>
            <w:r>
              <w:rPr>
                <w:rFonts w:hint="eastAsia" w:cs="Times New Roman"/>
                <w:iCs/>
                <w:color w:val="auto"/>
                <w:sz w:val="21"/>
                <w:szCs w:val="21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mg/L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22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  <w:lang w:val="zh-TW" w:eastAsia="zh-TW" w:bidi="zh-TW"/>
              </w:rPr>
              <w:t>铜</w:t>
            </w:r>
          </w:p>
        </w:tc>
        <w:tc>
          <w:tcPr>
            <w:tcW w:w="3076" w:type="pct"/>
            <w:vMerge w:val="restar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  <w:lang w:val="zh-TW" w:eastAsia="zh-TW" w:bidi="zh-TW"/>
              </w:rPr>
              <w:t>水质</w:t>
            </w:r>
            <w:r>
              <w:rPr>
                <w:rFonts w:eastAsia="Times New Roman"/>
                <w:color w:val="auto"/>
                <w:sz w:val="21"/>
                <w:szCs w:val="21"/>
                <w:lang w:val="zh-TW" w:eastAsia="zh-TW" w:bidi="zh-TW"/>
              </w:rPr>
              <w:t>65</w:t>
            </w:r>
            <w:r>
              <w:rPr>
                <w:color w:val="auto"/>
                <w:sz w:val="21"/>
                <w:szCs w:val="21"/>
                <w:lang w:val="zh-TW" w:eastAsia="zh-TW" w:bidi="zh-TW"/>
              </w:rPr>
              <w:t>种元素的测定电感耦合等离子体质谱法</w:t>
            </w: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HJ 700-2014</w:t>
            </w:r>
          </w:p>
        </w:tc>
        <w:tc>
          <w:tcPr>
            <w:tcW w:w="90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iCs/>
                <w:color w:val="auto"/>
                <w:sz w:val="21"/>
                <w:szCs w:val="21"/>
              </w:rPr>
              <w:t>0.00</w:t>
            </w:r>
            <w:r>
              <w:rPr>
                <w:rFonts w:hint="eastAsia" w:cs="Times New Roman"/>
                <w:iCs/>
                <w:color w:val="auto"/>
                <w:sz w:val="21"/>
                <w:szCs w:val="21"/>
                <w:lang w:val="en-US" w:eastAsia="zh-CN"/>
              </w:rPr>
              <w:t>008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mg/L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22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  <w:lang w:val="zh-TW" w:eastAsia="zh-TW" w:bidi="zh-TW"/>
              </w:rPr>
              <w:t>锌</w:t>
            </w:r>
          </w:p>
        </w:tc>
        <w:tc>
          <w:tcPr>
            <w:tcW w:w="3076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iCs/>
                <w:color w:val="auto"/>
                <w:sz w:val="21"/>
                <w:szCs w:val="21"/>
              </w:rPr>
              <w:t>0.00</w:t>
            </w:r>
            <w:r>
              <w:rPr>
                <w:rFonts w:hint="eastAsia" w:cs="Times New Roman"/>
                <w:iCs/>
                <w:color w:val="auto"/>
                <w:sz w:val="21"/>
                <w:szCs w:val="21"/>
                <w:lang w:val="en-US" w:eastAsia="zh-CN"/>
              </w:rPr>
              <w:t>067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mg/L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22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  <w:lang w:val="zh-TW" w:eastAsia="zh-TW" w:bidi="zh-TW"/>
              </w:rPr>
            </w:pPr>
            <w:r>
              <w:rPr>
                <w:color w:val="auto"/>
                <w:sz w:val="21"/>
                <w:szCs w:val="21"/>
                <w:lang w:val="zh-TW" w:eastAsia="zh-TW" w:bidi="zh-TW"/>
              </w:rPr>
              <w:t>铅</w:t>
            </w:r>
          </w:p>
        </w:tc>
        <w:tc>
          <w:tcPr>
            <w:tcW w:w="3076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iCs/>
                <w:color w:val="auto"/>
                <w:sz w:val="21"/>
                <w:szCs w:val="21"/>
              </w:rPr>
            </w:pP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0.00009mg/L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22" w:type="pct"/>
            <w:vAlign w:val="center"/>
          </w:tcPr>
          <w:p>
            <w:pPr>
              <w:pStyle w:val="91"/>
              <w:rPr>
                <w:rFonts w:hint="eastAsia" w:eastAsia="宋体"/>
                <w:color w:val="auto"/>
                <w:sz w:val="21"/>
                <w:szCs w:val="21"/>
                <w:lang w:val="en-US" w:eastAsia="zh-CN" w:bidi="zh-TW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 w:bidi="zh-TW"/>
              </w:rPr>
              <w:t>镍</w:t>
            </w:r>
          </w:p>
        </w:tc>
        <w:tc>
          <w:tcPr>
            <w:tcW w:w="3076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eastAsia="Times New Roman"/>
                <w:color w:val="auto"/>
                <w:sz w:val="21"/>
                <w:szCs w:val="21"/>
                <w:lang w:bidi="en-US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0.00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00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6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mg/L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22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  <w:lang w:val="zh-TW" w:eastAsia="zh-TW" w:bidi="zh-TW"/>
              </w:rPr>
              <w:t>镉</w:t>
            </w:r>
          </w:p>
        </w:tc>
        <w:tc>
          <w:tcPr>
            <w:tcW w:w="3076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0.00005mg/L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22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  <w:lang w:bidi="zh-TW"/>
              </w:rPr>
              <w:t>挥发酚（以苯酚计）</w:t>
            </w:r>
          </w:p>
        </w:tc>
        <w:tc>
          <w:tcPr>
            <w:tcW w:w="307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  <w:lang w:val="zh-TW" w:eastAsia="zh-TW" w:bidi="zh-TW"/>
              </w:rPr>
              <w:t>水质挥发酚的测定</w:t>
            </w:r>
            <w:r>
              <w:rPr>
                <w:rFonts w:eastAsia="Times New Roman"/>
                <w:color w:val="auto"/>
                <w:sz w:val="21"/>
                <w:szCs w:val="21"/>
                <w:lang w:val="zh-TW" w:eastAsia="zh-TW" w:bidi="zh-TW"/>
              </w:rPr>
              <w:t>4</w:t>
            </w:r>
            <w:r>
              <w:rPr>
                <w:color w:val="auto"/>
                <w:sz w:val="21"/>
                <w:szCs w:val="21"/>
                <w:lang w:val="zh-TW" w:eastAsia="zh-TW" w:bidi="zh-TW"/>
              </w:rPr>
              <w:t>-氨基安替比林分光光度法</w:t>
            </w: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HJ 503-2009</w:t>
            </w:r>
            <w:r>
              <w:rPr>
                <w:color w:val="auto"/>
                <w:sz w:val="21"/>
                <w:szCs w:val="21"/>
                <w:lang w:val="zh-TW" w:eastAsia="zh-TW" w:bidi="zh-TW"/>
              </w:rPr>
              <w:t>方法</w:t>
            </w:r>
            <w:r>
              <w:rPr>
                <w:rFonts w:eastAsia="Times New Roman"/>
                <w:color w:val="auto"/>
                <w:sz w:val="21"/>
                <w:szCs w:val="21"/>
                <w:lang w:val="zh-TW" w:eastAsia="zh-TW" w:bidi="zh-TW"/>
              </w:rPr>
              <w:t>1</w:t>
            </w:r>
            <w:r>
              <w:rPr>
                <w:color w:val="auto"/>
                <w:sz w:val="21"/>
                <w:szCs w:val="21"/>
                <w:lang w:val="zh-TW" w:eastAsia="zh-TW" w:bidi="zh-TW"/>
              </w:rPr>
              <w:t>萃取分光光度法</w:t>
            </w: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0.0003mg/L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22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  <w:lang w:val="zh-TW" w:eastAsia="zh-TW" w:bidi="zh-TW"/>
              </w:rPr>
              <w:t>阴离子表面活性剂</w:t>
            </w:r>
          </w:p>
        </w:tc>
        <w:tc>
          <w:tcPr>
            <w:tcW w:w="3076" w:type="pct"/>
            <w:vAlign w:val="center"/>
          </w:tcPr>
          <w:p>
            <w:pPr>
              <w:pStyle w:val="91"/>
              <w:rPr>
                <w:color w:val="FF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水质 阴离子表面活性剂的测定 亚甲蓝分光光度法GB/T 7494-1987</w:t>
            </w: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FF0000"/>
                <w:sz w:val="21"/>
                <w:szCs w:val="21"/>
              </w:rPr>
            </w:pP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0.05mg/L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22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  <w:lang w:val="zh-TW" w:eastAsia="zh-TW" w:bidi="zh-TW"/>
              </w:rPr>
              <w:t>耗氧量</w:t>
            </w:r>
            <w:r>
              <w:rPr>
                <w:color w:val="auto"/>
                <w:sz w:val="21"/>
                <w:szCs w:val="21"/>
                <w:lang w:bidi="en-US"/>
              </w:rPr>
              <w:t>（</w:t>
            </w: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CODMn</w:t>
            </w:r>
            <w:r>
              <w:rPr>
                <w:color w:val="auto"/>
                <w:sz w:val="21"/>
                <w:szCs w:val="21"/>
                <w:lang w:val="zh-TW" w:eastAsia="zh-TW" w:bidi="zh-TW"/>
              </w:rPr>
              <w:t>法，以</w:t>
            </w:r>
            <w:r>
              <w:rPr>
                <w:color w:val="auto"/>
                <w:sz w:val="21"/>
                <w:szCs w:val="21"/>
                <w:lang w:bidi="zh-TW"/>
              </w:rPr>
              <w:t>O</w:t>
            </w:r>
            <w:r>
              <w:rPr>
                <w:rFonts w:eastAsia="Times New Roman"/>
                <w:color w:val="auto"/>
                <w:sz w:val="21"/>
                <w:szCs w:val="21"/>
                <w:vertAlign w:val="subscript"/>
                <w:lang w:val="zh-TW" w:eastAsia="zh-TW" w:bidi="zh-TW"/>
              </w:rPr>
              <w:t>2</w:t>
            </w:r>
            <w:r>
              <w:rPr>
                <w:color w:val="auto"/>
                <w:sz w:val="21"/>
                <w:szCs w:val="21"/>
                <w:lang w:val="zh-TW" w:eastAsia="zh-TW" w:bidi="zh-TW"/>
              </w:rPr>
              <w:t>计</w:t>
            </w:r>
            <w:r>
              <w:rPr>
                <w:color w:val="auto"/>
                <w:sz w:val="21"/>
                <w:szCs w:val="21"/>
                <w:lang w:val="zh-TW" w:bidi="zh-TW"/>
              </w:rPr>
              <w:t>）</w:t>
            </w:r>
          </w:p>
        </w:tc>
        <w:tc>
          <w:tcPr>
            <w:tcW w:w="307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  <w:lang w:val="zh-TW" w:eastAsia="zh-TW" w:bidi="zh-TW"/>
              </w:rPr>
              <w:t>生活饮用水标准检验方法</w:t>
            </w:r>
            <w:r>
              <w:rPr>
                <w:rFonts w:hint="eastAsia"/>
                <w:color w:val="auto"/>
                <w:sz w:val="21"/>
                <w:szCs w:val="21"/>
              </w:rPr>
              <w:t xml:space="preserve"> </w:t>
            </w:r>
            <w:r>
              <w:rPr>
                <w:color w:val="auto"/>
                <w:sz w:val="21"/>
                <w:szCs w:val="21"/>
                <w:lang w:val="zh-TW" w:eastAsia="zh-TW" w:bidi="zh-TW"/>
              </w:rPr>
              <w:t>有机物综合指标</w:t>
            </w: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GB/T 5750.7-20061.1</w:t>
            </w:r>
            <w:r>
              <w:rPr>
                <w:color w:val="auto"/>
                <w:sz w:val="21"/>
                <w:szCs w:val="21"/>
                <w:lang w:val="zh-TW" w:eastAsia="zh-TW" w:bidi="zh-TW"/>
              </w:rPr>
              <w:t>酸性高</w:t>
            </w:r>
            <w:r>
              <w:rPr>
                <w:color w:val="auto"/>
                <w:sz w:val="21"/>
                <w:szCs w:val="21"/>
                <w:lang w:bidi="zh-TW"/>
              </w:rPr>
              <w:t>锰</w:t>
            </w:r>
            <w:r>
              <w:rPr>
                <w:color w:val="auto"/>
                <w:sz w:val="21"/>
                <w:szCs w:val="21"/>
                <w:lang w:val="zh-TW" w:eastAsia="zh-TW" w:bidi="zh-TW"/>
              </w:rPr>
              <w:t>酸钾滴定法</w:t>
            </w: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0.05mg/L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22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  <w:lang w:val="zh-TW" w:eastAsia="zh-TW" w:bidi="zh-TW"/>
              </w:rPr>
              <w:t>氨氮</w:t>
            </w:r>
            <w:r>
              <w:rPr>
                <w:color w:val="auto"/>
                <w:sz w:val="21"/>
                <w:szCs w:val="21"/>
                <w:lang w:val="zh-TW" w:bidi="zh-TW"/>
              </w:rPr>
              <w:t>（</w:t>
            </w:r>
            <w:r>
              <w:rPr>
                <w:color w:val="auto"/>
                <w:sz w:val="21"/>
                <w:szCs w:val="21"/>
                <w:lang w:val="zh-TW" w:eastAsia="zh-TW" w:bidi="zh-TW"/>
              </w:rPr>
              <w:t>以</w:t>
            </w: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N</w:t>
            </w:r>
            <w:r>
              <w:rPr>
                <w:color w:val="auto"/>
                <w:sz w:val="21"/>
                <w:szCs w:val="21"/>
                <w:lang w:val="zh-TW" w:eastAsia="zh-TW" w:bidi="zh-TW"/>
              </w:rPr>
              <w:t>计</w:t>
            </w:r>
            <w:r>
              <w:rPr>
                <w:color w:val="auto"/>
                <w:sz w:val="21"/>
                <w:szCs w:val="21"/>
                <w:lang w:val="zh-TW" w:bidi="zh-TW"/>
              </w:rPr>
              <w:t>）</w:t>
            </w:r>
          </w:p>
        </w:tc>
        <w:tc>
          <w:tcPr>
            <w:tcW w:w="307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  <w:lang w:val="zh-TW" w:eastAsia="zh-TW" w:bidi="zh-TW"/>
              </w:rPr>
              <w:t>水质氨氮的测定</w:t>
            </w:r>
            <w:r>
              <w:rPr>
                <w:rFonts w:hint="eastAsia"/>
                <w:color w:val="auto"/>
                <w:sz w:val="21"/>
                <w:szCs w:val="21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纳氏试剂分光光度法HJ 535-2009</w:t>
            </w: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  <w:lang w:bidi="en-US"/>
              </w:rPr>
              <w:t>0.0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 w:bidi="en-US"/>
              </w:rPr>
              <w:t>25</w:t>
            </w: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mg/L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22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  <w:lang w:val="zh-TW" w:eastAsia="zh-TW" w:bidi="zh-TW"/>
              </w:rPr>
              <w:t>硫化物</w:t>
            </w:r>
          </w:p>
        </w:tc>
        <w:tc>
          <w:tcPr>
            <w:tcW w:w="307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  <w:lang w:val="zh-TW" w:eastAsia="zh-TW" w:bidi="zh-TW"/>
              </w:rPr>
              <w:t>水质硫化物的测定</w:t>
            </w:r>
            <w:r>
              <w:rPr>
                <w:rFonts w:hint="eastAsia"/>
                <w:color w:val="auto"/>
                <w:sz w:val="21"/>
                <w:szCs w:val="21"/>
              </w:rPr>
              <w:t xml:space="preserve"> </w:t>
            </w:r>
            <w:r>
              <w:rPr>
                <w:color w:val="auto"/>
                <w:sz w:val="21"/>
                <w:szCs w:val="21"/>
                <w:lang w:val="zh-TW" w:eastAsia="zh-TW" w:bidi="zh-TW"/>
              </w:rPr>
              <w:t>亚甲基蓝分光光度法</w:t>
            </w: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HJ 1226-2021</w:t>
            </w: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0.003mg/L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22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  <w:lang w:bidi="zh-TW"/>
              </w:rPr>
              <w:t>氰</w:t>
            </w:r>
            <w:r>
              <w:rPr>
                <w:color w:val="auto"/>
                <w:sz w:val="21"/>
                <w:szCs w:val="21"/>
                <w:lang w:val="zh-TW" w:eastAsia="zh-TW" w:bidi="zh-TW"/>
              </w:rPr>
              <w:t>化物</w:t>
            </w:r>
            <w:r>
              <w:rPr>
                <w:color w:val="auto"/>
                <w:sz w:val="21"/>
                <w:szCs w:val="21"/>
                <w:lang w:val="zh-TW" w:bidi="zh-TW"/>
              </w:rPr>
              <w:t>（</w:t>
            </w:r>
            <w:r>
              <w:rPr>
                <w:color w:val="auto"/>
                <w:sz w:val="21"/>
                <w:szCs w:val="21"/>
                <w:lang w:val="zh-TW" w:eastAsia="zh-TW" w:bidi="zh-TW"/>
              </w:rPr>
              <w:t>以</w:t>
            </w: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CN</w:t>
            </w:r>
            <w:r>
              <w:rPr>
                <w:rFonts w:eastAsia="Times New Roman"/>
                <w:color w:val="auto"/>
                <w:sz w:val="21"/>
                <w:szCs w:val="21"/>
                <w:vertAlign w:val="superscript"/>
                <w:lang w:bidi="en-US"/>
              </w:rPr>
              <w:t>-</w:t>
            </w:r>
          </w:p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  <w:lang w:val="zh-TW" w:eastAsia="zh-TW" w:bidi="zh-TW"/>
              </w:rPr>
              <w:t>计</w:t>
            </w:r>
            <w:r>
              <w:rPr>
                <w:color w:val="auto"/>
                <w:sz w:val="21"/>
                <w:szCs w:val="21"/>
                <w:lang w:val="zh-TW" w:bidi="zh-TW"/>
              </w:rPr>
              <w:t>）</w:t>
            </w:r>
          </w:p>
        </w:tc>
        <w:tc>
          <w:tcPr>
            <w:tcW w:w="307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  <w:lang w:val="zh-TW" w:eastAsia="zh-TW" w:bidi="zh-TW"/>
              </w:rPr>
              <w:t>生活饮用水标准检验方法无血属指标</w:t>
            </w:r>
          </w:p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GB/T5750.5-20064.1</w:t>
            </w:r>
            <w:r>
              <w:rPr>
                <w:rFonts w:hint="eastAsia"/>
                <w:color w:val="auto"/>
                <w:sz w:val="21"/>
                <w:szCs w:val="21"/>
              </w:rPr>
              <w:t xml:space="preserve"> </w:t>
            </w:r>
            <w:r>
              <w:rPr>
                <w:color w:val="auto"/>
                <w:sz w:val="21"/>
                <w:szCs w:val="21"/>
                <w:lang w:val="zh-TW" w:eastAsia="zh-TW" w:bidi="zh-TW"/>
              </w:rPr>
              <w:t>异烟酸-</w:t>
            </w:r>
            <w:r>
              <w:rPr>
                <w:color w:val="auto"/>
                <w:sz w:val="21"/>
                <w:szCs w:val="21"/>
                <w:lang w:bidi="zh-TW"/>
              </w:rPr>
              <w:t>吡唑酮</w:t>
            </w:r>
            <w:r>
              <w:rPr>
                <w:color w:val="auto"/>
                <w:sz w:val="21"/>
                <w:szCs w:val="21"/>
                <w:lang w:val="zh-TW" w:eastAsia="zh-TW" w:bidi="zh-TW"/>
              </w:rPr>
              <w:t>分光光度法</w:t>
            </w: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0.002mg/L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22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  <w:lang w:val="zh-TW" w:eastAsia="zh-TW" w:bidi="zh-TW"/>
              </w:rPr>
              <w:t>碘化物</w:t>
            </w:r>
          </w:p>
        </w:tc>
        <w:tc>
          <w:tcPr>
            <w:tcW w:w="307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  <w:lang w:val="zh-TW" w:eastAsia="zh-TW" w:bidi="zh-TW"/>
              </w:rPr>
              <w:t>生活饮用水标准检验方法</w:t>
            </w:r>
            <w:r>
              <w:rPr>
                <w:rFonts w:hint="eastAsia"/>
                <w:color w:val="auto"/>
                <w:sz w:val="21"/>
                <w:szCs w:val="21"/>
              </w:rPr>
              <w:t xml:space="preserve"> </w:t>
            </w:r>
            <w:r>
              <w:rPr>
                <w:color w:val="auto"/>
                <w:sz w:val="21"/>
                <w:szCs w:val="21"/>
                <w:lang w:val="zh-TW" w:eastAsia="zh-TW" w:bidi="zh-TW"/>
              </w:rPr>
              <w:t>无机非金属指标</w:t>
            </w: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GB/T5750.5-200611.2</w:t>
            </w:r>
            <w:r>
              <w:rPr>
                <w:rFonts w:hint="eastAsia"/>
                <w:color w:val="auto"/>
                <w:sz w:val="21"/>
                <w:szCs w:val="21"/>
              </w:rPr>
              <w:t xml:space="preserve"> </w:t>
            </w:r>
            <w:r>
              <w:rPr>
                <w:color w:val="auto"/>
                <w:sz w:val="21"/>
                <w:szCs w:val="21"/>
                <w:lang w:val="zh-TW" w:eastAsia="zh-TW" w:bidi="zh-TW"/>
              </w:rPr>
              <w:t>高浓度碘化物比色法</w:t>
            </w: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0.05mg/L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22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  <w:lang w:val="zh-TW" w:eastAsia="zh-TW" w:bidi="zh-TW"/>
              </w:rPr>
              <w:t>汞</w:t>
            </w:r>
          </w:p>
        </w:tc>
        <w:tc>
          <w:tcPr>
            <w:tcW w:w="3076" w:type="pct"/>
            <w:vMerge w:val="restar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  <w:lang w:val="zh-TW" w:eastAsia="zh-TW" w:bidi="zh-TW"/>
              </w:rPr>
              <w:t>水质汞、</w:t>
            </w:r>
            <w:r>
              <w:rPr>
                <w:color w:val="auto"/>
                <w:sz w:val="21"/>
                <w:szCs w:val="21"/>
                <w:lang w:bidi="zh-TW"/>
              </w:rPr>
              <w:t>砷</w:t>
            </w:r>
            <w:r>
              <w:rPr>
                <w:color w:val="auto"/>
                <w:sz w:val="21"/>
                <w:szCs w:val="21"/>
                <w:lang w:val="zh-TW" w:eastAsia="zh-TW" w:bidi="zh-TW"/>
              </w:rPr>
              <w:t>、硒、</w:t>
            </w:r>
            <w:r>
              <w:rPr>
                <w:color w:val="auto"/>
                <w:sz w:val="21"/>
                <w:szCs w:val="21"/>
                <w:lang w:bidi="zh-TW"/>
              </w:rPr>
              <w:t>铋</w:t>
            </w:r>
            <w:r>
              <w:rPr>
                <w:color w:val="auto"/>
                <w:sz w:val="21"/>
                <w:szCs w:val="21"/>
                <w:lang w:val="zh-TW" w:eastAsia="zh-TW" w:bidi="zh-TW"/>
              </w:rPr>
              <w:t>和</w:t>
            </w:r>
            <w:r>
              <w:rPr>
                <w:color w:val="auto"/>
                <w:sz w:val="21"/>
                <w:szCs w:val="21"/>
                <w:lang w:bidi="zh-TW"/>
              </w:rPr>
              <w:t>锑</w:t>
            </w:r>
            <w:r>
              <w:rPr>
                <w:color w:val="auto"/>
                <w:sz w:val="21"/>
                <w:szCs w:val="21"/>
                <w:lang w:val="zh-TW" w:eastAsia="zh-TW" w:bidi="zh-TW"/>
              </w:rPr>
              <w:t>的测定原子荧光法</w:t>
            </w: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HJ 694-2014</w:t>
            </w: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0.00004mg/L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22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  <w:lang w:bidi="zh-TW"/>
              </w:rPr>
              <w:t>砷</w:t>
            </w:r>
          </w:p>
        </w:tc>
        <w:tc>
          <w:tcPr>
            <w:tcW w:w="3076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0.0003mg/L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22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  <w:lang w:val="zh-TW" w:eastAsia="zh-TW" w:bidi="zh-TW"/>
              </w:rPr>
              <w:t>硒</w:t>
            </w:r>
          </w:p>
        </w:tc>
        <w:tc>
          <w:tcPr>
            <w:tcW w:w="3076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0.0004mg/L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22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  <w:lang w:bidi="zh-TW"/>
              </w:rPr>
              <w:t>铬（六价）</w:t>
            </w:r>
          </w:p>
        </w:tc>
        <w:tc>
          <w:tcPr>
            <w:tcW w:w="307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  <w:lang w:val="zh-TW" w:eastAsia="zh-TW" w:bidi="zh-TW"/>
              </w:rPr>
              <w:t>生活饮用水标准检验方法</w:t>
            </w:r>
            <w:r>
              <w:rPr>
                <w:rFonts w:hint="eastAsia"/>
                <w:color w:val="auto"/>
                <w:sz w:val="21"/>
                <w:szCs w:val="21"/>
              </w:rPr>
              <w:t xml:space="preserve"> </w:t>
            </w:r>
            <w:r>
              <w:rPr>
                <w:color w:val="auto"/>
                <w:sz w:val="21"/>
                <w:szCs w:val="21"/>
                <w:lang w:val="zh-TW" w:eastAsia="zh-TW" w:bidi="zh-TW"/>
              </w:rPr>
              <w:t>金属指标</w:t>
            </w: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GB/T 5750.6-200610.1</w:t>
            </w:r>
            <w:r>
              <w:rPr>
                <w:rFonts w:hint="eastAsia"/>
                <w:color w:val="auto"/>
                <w:sz w:val="21"/>
                <w:szCs w:val="21"/>
              </w:rPr>
              <w:t xml:space="preserve"> </w:t>
            </w:r>
            <w:r>
              <w:rPr>
                <w:color w:val="auto"/>
                <w:sz w:val="21"/>
                <w:szCs w:val="21"/>
                <w:lang w:val="zh-TW" w:eastAsia="zh-TW" w:bidi="zh-TW"/>
              </w:rPr>
              <w:t>二苯碳酰二</w:t>
            </w:r>
            <w:r>
              <w:rPr>
                <w:color w:val="auto"/>
                <w:sz w:val="21"/>
                <w:szCs w:val="21"/>
                <w:lang w:bidi="zh-TW"/>
              </w:rPr>
              <w:t>肼</w:t>
            </w:r>
            <w:r>
              <w:rPr>
                <w:color w:val="auto"/>
                <w:sz w:val="21"/>
                <w:szCs w:val="21"/>
                <w:lang w:val="zh-TW" w:eastAsia="zh-TW" w:bidi="zh-TW"/>
              </w:rPr>
              <w:t>分光光度法</w:t>
            </w: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0.004mg/L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22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  <w:lang w:val="zh-TW" w:eastAsia="zh-TW" w:bidi="zh-TW"/>
              </w:rPr>
            </w:pPr>
            <w:r>
              <w:rPr>
                <w:color w:val="auto"/>
                <w:sz w:val="21"/>
                <w:szCs w:val="21"/>
                <w:lang w:val="zh-TW" w:eastAsia="zh-TW" w:bidi="zh-TW"/>
              </w:rPr>
              <w:t>三氯甲烷/氯仿</w:t>
            </w:r>
          </w:p>
        </w:tc>
        <w:tc>
          <w:tcPr>
            <w:tcW w:w="3076" w:type="pct"/>
            <w:vMerge w:val="restar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  <w:lang w:val="zh-TW" w:eastAsia="zh-TW" w:bidi="zh-TW"/>
              </w:rPr>
            </w:pPr>
            <w:r>
              <w:rPr>
                <w:color w:val="auto"/>
                <w:sz w:val="21"/>
                <w:szCs w:val="21"/>
                <w:lang w:val="zh-TW" w:eastAsia="zh-TW" w:bidi="zh-TW"/>
              </w:rPr>
              <w:t>水质挥发性有机物的测定吹扫捕集/气相色谱-质谱法HJ 639-2012</w:t>
            </w: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0.4</w:t>
            </w:r>
            <w:r>
              <w:rPr>
                <w:rFonts w:eastAsia="仿宋"/>
                <w:color w:val="auto"/>
                <w:sz w:val="21"/>
                <w:szCs w:val="21"/>
                <w:lang w:bidi="zh-TW"/>
              </w:rPr>
              <w:t>μ</w:t>
            </w:r>
            <w:r>
              <w:rPr>
                <w:color w:val="auto"/>
                <w:sz w:val="21"/>
                <w:szCs w:val="21"/>
                <w:lang w:bidi="zh-TW"/>
              </w:rPr>
              <w:t>g/</w:t>
            </w: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22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  <w:lang w:val="zh-TW" w:eastAsia="zh-TW" w:bidi="zh-TW"/>
              </w:rPr>
            </w:pPr>
            <w:r>
              <w:rPr>
                <w:color w:val="auto"/>
                <w:sz w:val="21"/>
                <w:szCs w:val="21"/>
                <w:lang w:val="zh-TW" w:eastAsia="zh-TW" w:bidi="zh-TW"/>
              </w:rPr>
              <w:t>四氯化碳</w:t>
            </w:r>
          </w:p>
        </w:tc>
        <w:tc>
          <w:tcPr>
            <w:tcW w:w="3076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  <w:lang w:val="zh-TW" w:eastAsia="zh-TW" w:bidi="zh-TW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0.4</w:t>
            </w:r>
            <w:r>
              <w:rPr>
                <w:color w:val="auto"/>
                <w:sz w:val="21"/>
                <w:szCs w:val="21"/>
                <w:lang w:val="zh-TW" w:bidi="zh-TW"/>
              </w:rPr>
              <w:t>μg/L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22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  <w:lang w:val="zh-TW" w:eastAsia="zh-TW" w:bidi="zh-TW"/>
              </w:rPr>
            </w:pPr>
            <w:r>
              <w:rPr>
                <w:color w:val="auto"/>
                <w:sz w:val="21"/>
                <w:szCs w:val="21"/>
                <w:lang w:val="zh-TW" w:eastAsia="zh-TW" w:bidi="zh-TW"/>
              </w:rPr>
              <w:t>苯</w:t>
            </w:r>
          </w:p>
        </w:tc>
        <w:tc>
          <w:tcPr>
            <w:tcW w:w="3076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  <w:lang w:val="zh-TW" w:eastAsia="zh-TW" w:bidi="zh-TW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0.4</w:t>
            </w:r>
            <w:r>
              <w:rPr>
                <w:color w:val="auto"/>
                <w:sz w:val="21"/>
                <w:szCs w:val="21"/>
                <w:lang w:val="zh-TW" w:bidi="zh-TW"/>
              </w:rPr>
              <w:t>μg/L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22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  <w:lang w:val="zh-TW" w:eastAsia="zh-TW" w:bidi="zh-TW"/>
              </w:rPr>
            </w:pPr>
            <w:r>
              <w:rPr>
                <w:color w:val="auto"/>
                <w:sz w:val="21"/>
                <w:szCs w:val="21"/>
                <w:lang w:val="zh-TW" w:eastAsia="zh-TW" w:bidi="zh-TW"/>
              </w:rPr>
              <w:t>甲苯</w:t>
            </w:r>
          </w:p>
        </w:tc>
        <w:tc>
          <w:tcPr>
            <w:tcW w:w="3076" w:type="pct"/>
            <w:vMerge w:val="continue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  <w:lang w:val="zh-TW" w:eastAsia="zh-TW" w:bidi="zh-TW"/>
              </w:rPr>
            </w:pP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0.3</w:t>
            </w:r>
            <w:r>
              <w:rPr>
                <w:color w:val="auto"/>
                <w:sz w:val="21"/>
                <w:szCs w:val="21"/>
                <w:lang w:val="zh-TW" w:bidi="zh-TW"/>
              </w:rPr>
              <w:t>μg/L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22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  <w:lang w:bidi="zh-TW"/>
              </w:rPr>
              <w:t>石油类</w:t>
            </w:r>
          </w:p>
        </w:tc>
        <w:tc>
          <w:tcPr>
            <w:tcW w:w="3076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  <w:lang w:val="zh-TW" w:eastAsia="zh-TW" w:bidi="zh-TW"/>
              </w:rPr>
              <w:t>水质石油类和动植物油类的测定红外分光光度法</w:t>
            </w: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HJ 637-2018</w:t>
            </w:r>
          </w:p>
        </w:tc>
        <w:tc>
          <w:tcPr>
            <w:tcW w:w="901" w:type="pct"/>
            <w:vAlign w:val="center"/>
          </w:tcPr>
          <w:p>
            <w:pPr>
              <w:pStyle w:val="91"/>
              <w:rPr>
                <w:color w:val="auto"/>
                <w:sz w:val="21"/>
                <w:szCs w:val="21"/>
              </w:rPr>
            </w:pPr>
            <w:r>
              <w:rPr>
                <w:rFonts w:eastAsia="Times New Roman"/>
                <w:color w:val="auto"/>
                <w:sz w:val="21"/>
                <w:szCs w:val="21"/>
                <w:lang w:bidi="en-US"/>
              </w:rPr>
              <w:t>0.06mg/L</w:t>
            </w:r>
          </w:p>
        </w:tc>
      </w:tr>
    </w:tbl>
    <w:p>
      <w:pPr>
        <w:pStyle w:val="3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textAlignment w:val="auto"/>
        <w:rPr>
          <w:rFonts w:hint="eastAsia"/>
          <w:color w:val="auto"/>
          <w:lang w:eastAsia="zh-CN"/>
        </w:rPr>
      </w:pPr>
      <w:r>
        <w:rPr>
          <w:rFonts w:hint="eastAsia"/>
          <w:color w:val="auto"/>
          <w:lang w:eastAsia="zh-CN"/>
        </w:rPr>
        <w:t>地下水检测质量控制要求</w:t>
      </w:r>
    </w:p>
    <w:p>
      <w:pPr>
        <w:pStyle w:val="4"/>
        <w:bidi w:val="0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采样质量控制要求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color w:val="auto"/>
          <w:highlight w:val="none"/>
          <w:lang w:eastAsia="zh-CN"/>
        </w:rPr>
      </w:pPr>
      <w:r>
        <w:rPr>
          <w:rFonts w:hint="eastAsia"/>
          <w:color w:val="auto"/>
          <w:highlight w:val="none"/>
          <w:lang w:val="en-US" w:eastAsia="zh-CN"/>
        </w:rPr>
        <w:t>1）</w:t>
      </w:r>
      <w:r>
        <w:rPr>
          <w:rFonts w:hint="eastAsia"/>
          <w:color w:val="auto"/>
          <w:highlight w:val="none"/>
          <w:lang w:eastAsia="zh-CN"/>
        </w:rPr>
        <w:t>元素及理化项目：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color w:val="auto"/>
          <w:highlight w:val="none"/>
          <w:lang w:eastAsia="zh-CN"/>
        </w:rPr>
      </w:pPr>
      <w:r>
        <w:rPr>
          <w:rFonts w:hint="eastAsia"/>
          <w:color w:val="auto"/>
          <w:highlight w:val="none"/>
          <w:lang w:eastAsia="zh-CN"/>
        </w:rPr>
        <w:t>（1）采样平行样：每批次至少1个平行样，每个地块现场平行样品数＞项目总检测数的10%。</w:t>
      </w:r>
    </w:p>
    <w:p>
      <w:pPr>
        <w:numPr>
          <w:ilvl w:val="0"/>
          <w:numId w:val="0"/>
        </w:numPr>
        <w:ind w:firstLine="480" w:firstLineChars="200"/>
        <w:rPr>
          <w:rFonts w:hint="eastAsia" w:eastAsia="宋体"/>
          <w:color w:val="auto"/>
          <w:highlight w:val="none"/>
          <w:lang w:eastAsia="zh-CN"/>
        </w:rPr>
      </w:pPr>
      <w:r>
        <w:rPr>
          <w:rFonts w:hint="eastAsia"/>
          <w:color w:val="auto"/>
          <w:highlight w:val="none"/>
          <w:lang w:val="en-US" w:eastAsia="zh-CN"/>
        </w:rPr>
        <w:t>2）</w:t>
      </w:r>
      <w:r>
        <w:rPr>
          <w:rFonts w:hint="eastAsia"/>
          <w:color w:val="auto"/>
          <w:highlight w:val="none"/>
          <w:lang w:eastAsia="zh-CN"/>
        </w:rPr>
        <w:t>挥发性有机物：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color w:val="auto"/>
          <w:highlight w:val="none"/>
        </w:rPr>
      </w:pPr>
      <w:r>
        <w:rPr>
          <w:rFonts w:hint="eastAsia"/>
          <w:b w:val="0"/>
          <w:bCs/>
          <w:color w:val="auto"/>
          <w:highlight w:val="none"/>
          <w:lang w:eastAsia="zh-CN"/>
        </w:rPr>
        <w:t>（</w:t>
      </w:r>
      <w:r>
        <w:rPr>
          <w:rFonts w:hint="eastAsia"/>
          <w:b w:val="0"/>
          <w:bCs/>
          <w:color w:val="auto"/>
          <w:highlight w:val="none"/>
          <w:lang w:val="en-US" w:eastAsia="zh-CN"/>
        </w:rPr>
        <w:t>1</w:t>
      </w:r>
      <w:r>
        <w:rPr>
          <w:rFonts w:hint="eastAsia"/>
          <w:b w:val="0"/>
          <w:bCs/>
          <w:color w:val="auto"/>
          <w:highlight w:val="none"/>
          <w:lang w:eastAsia="zh-CN"/>
        </w:rPr>
        <w:t>）采样平行</w:t>
      </w:r>
      <w:r>
        <w:rPr>
          <w:rFonts w:hint="eastAsia"/>
          <w:color w:val="auto"/>
          <w:highlight w:val="none"/>
          <w:lang w:eastAsia="zh-CN"/>
        </w:rPr>
        <w:t>样</w:t>
      </w:r>
      <w:r>
        <w:rPr>
          <w:rFonts w:hint="eastAsia"/>
          <w:b w:val="0"/>
          <w:bCs/>
          <w:color w:val="auto"/>
          <w:highlight w:val="none"/>
          <w:lang w:eastAsia="zh-CN"/>
        </w:rPr>
        <w:t>：</w:t>
      </w:r>
      <w:r>
        <w:rPr>
          <w:rFonts w:hint="eastAsia"/>
          <w:color w:val="auto"/>
          <w:highlight w:val="none"/>
        </w:rPr>
        <w:t>每批次至少1个平行样，</w:t>
      </w:r>
      <w:r>
        <w:rPr>
          <w:rFonts w:hint="eastAsia"/>
          <w:color w:val="auto"/>
          <w:highlight w:val="none"/>
          <w:lang w:eastAsia="zh-CN"/>
        </w:rPr>
        <w:t>每个地块</w:t>
      </w:r>
      <w:r>
        <w:rPr>
          <w:rFonts w:hint="eastAsia"/>
          <w:color w:val="auto"/>
          <w:highlight w:val="none"/>
        </w:rPr>
        <w:t>现场平行样</w:t>
      </w:r>
      <w:r>
        <w:rPr>
          <w:rFonts w:hint="eastAsia"/>
          <w:color w:val="auto"/>
          <w:highlight w:val="none"/>
          <w:lang w:eastAsia="zh-CN"/>
        </w:rPr>
        <w:t>品数</w:t>
      </w:r>
      <w:r>
        <w:rPr>
          <w:rFonts w:hint="eastAsia"/>
          <w:color w:val="auto"/>
          <w:highlight w:val="none"/>
        </w:rPr>
        <w:t>＞项目总检测数的1</w:t>
      </w:r>
      <w:r>
        <w:rPr>
          <w:color w:val="auto"/>
          <w:highlight w:val="none"/>
        </w:rPr>
        <w:t>0%</w:t>
      </w:r>
      <w:r>
        <w:rPr>
          <w:rFonts w:hint="eastAsia"/>
          <w:color w:val="auto"/>
          <w:highlight w:val="none"/>
        </w:rPr>
        <w:t>。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  <w:lang w:eastAsia="zh-CN"/>
        </w:rPr>
        <w:t>（</w:t>
      </w:r>
      <w:r>
        <w:rPr>
          <w:rFonts w:hint="eastAsia"/>
          <w:color w:val="auto"/>
          <w:highlight w:val="none"/>
          <w:lang w:val="en-US" w:eastAsia="zh-CN"/>
        </w:rPr>
        <w:t>2</w:t>
      </w:r>
      <w:r>
        <w:rPr>
          <w:rFonts w:hint="eastAsia"/>
          <w:color w:val="auto"/>
          <w:highlight w:val="none"/>
          <w:lang w:eastAsia="zh-CN"/>
        </w:rPr>
        <w:t>）全程序空白样：每批次</w:t>
      </w:r>
      <w:r>
        <w:rPr>
          <w:rFonts w:hint="eastAsia"/>
          <w:color w:val="auto"/>
          <w:highlight w:val="none"/>
          <w:lang w:val="en-US" w:eastAsia="zh-CN"/>
        </w:rPr>
        <w:t>1</w:t>
      </w:r>
      <w:r>
        <w:rPr>
          <w:rFonts w:hint="eastAsia"/>
          <w:color w:val="auto"/>
          <w:highlight w:val="none"/>
          <w:lang w:eastAsia="zh-CN"/>
        </w:rPr>
        <w:t>个全程序空白样，一般每天</w:t>
      </w:r>
      <w:r>
        <w:rPr>
          <w:rFonts w:hint="eastAsia"/>
          <w:color w:val="auto"/>
          <w:highlight w:val="none"/>
          <w:lang w:val="en-US" w:eastAsia="zh-CN"/>
        </w:rPr>
        <w:t>1</w:t>
      </w:r>
      <w:r>
        <w:rPr>
          <w:rFonts w:hint="eastAsia"/>
          <w:color w:val="auto"/>
          <w:highlight w:val="none"/>
          <w:lang w:eastAsia="zh-CN"/>
        </w:rPr>
        <w:t>个样。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  <w:lang w:eastAsia="zh-CN"/>
        </w:rPr>
        <w:t>（</w:t>
      </w:r>
      <w:r>
        <w:rPr>
          <w:rFonts w:hint="eastAsia"/>
          <w:color w:val="auto"/>
          <w:highlight w:val="none"/>
          <w:lang w:val="en-US" w:eastAsia="zh-CN"/>
        </w:rPr>
        <w:t>3</w:t>
      </w:r>
      <w:r>
        <w:rPr>
          <w:rFonts w:hint="eastAsia"/>
          <w:color w:val="auto"/>
          <w:highlight w:val="none"/>
          <w:lang w:eastAsia="zh-CN"/>
        </w:rPr>
        <w:t>）运输空白样：每批次</w:t>
      </w:r>
      <w:r>
        <w:rPr>
          <w:rFonts w:hint="eastAsia"/>
          <w:color w:val="auto"/>
          <w:highlight w:val="none"/>
          <w:lang w:val="en-US" w:eastAsia="zh-CN"/>
        </w:rPr>
        <w:t>1</w:t>
      </w:r>
      <w:r>
        <w:rPr>
          <w:rFonts w:hint="eastAsia"/>
          <w:color w:val="auto"/>
          <w:highlight w:val="none"/>
          <w:lang w:eastAsia="zh-CN"/>
        </w:rPr>
        <w:t>个全程序空白样，一般每天</w:t>
      </w:r>
      <w:r>
        <w:rPr>
          <w:rFonts w:hint="eastAsia"/>
          <w:color w:val="auto"/>
          <w:highlight w:val="none"/>
          <w:lang w:val="en-US" w:eastAsia="zh-CN"/>
        </w:rPr>
        <w:t>1</w:t>
      </w:r>
      <w:r>
        <w:rPr>
          <w:rFonts w:hint="eastAsia"/>
          <w:color w:val="auto"/>
          <w:highlight w:val="none"/>
          <w:lang w:eastAsia="zh-CN"/>
        </w:rPr>
        <w:t>个样。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  <w:lang w:eastAsia="zh-CN"/>
        </w:rPr>
        <w:t>（</w:t>
      </w:r>
      <w:r>
        <w:rPr>
          <w:rFonts w:hint="eastAsia"/>
          <w:color w:val="auto"/>
          <w:highlight w:val="none"/>
          <w:lang w:val="en-US" w:eastAsia="zh-CN"/>
        </w:rPr>
        <w:t>4</w:t>
      </w:r>
      <w:r>
        <w:rPr>
          <w:rFonts w:hint="eastAsia"/>
          <w:color w:val="auto"/>
          <w:highlight w:val="none"/>
          <w:lang w:eastAsia="zh-CN"/>
        </w:rPr>
        <w:t>）设备淋洗空白样：每批次</w:t>
      </w:r>
      <w:r>
        <w:rPr>
          <w:rFonts w:hint="eastAsia"/>
          <w:color w:val="auto"/>
          <w:highlight w:val="none"/>
          <w:lang w:val="en-US" w:eastAsia="zh-CN"/>
        </w:rPr>
        <w:t>1</w:t>
      </w:r>
      <w:r>
        <w:rPr>
          <w:rFonts w:hint="eastAsia"/>
          <w:color w:val="auto"/>
          <w:highlight w:val="none"/>
          <w:lang w:eastAsia="zh-CN"/>
        </w:rPr>
        <w:t>个全程序空白样，一般每天</w:t>
      </w:r>
      <w:r>
        <w:rPr>
          <w:rFonts w:hint="eastAsia"/>
          <w:color w:val="auto"/>
          <w:highlight w:val="none"/>
          <w:lang w:val="en-US" w:eastAsia="zh-CN"/>
        </w:rPr>
        <w:t>1</w:t>
      </w:r>
      <w:r>
        <w:rPr>
          <w:rFonts w:hint="eastAsia"/>
          <w:color w:val="auto"/>
          <w:highlight w:val="none"/>
          <w:lang w:eastAsia="zh-CN"/>
        </w:rPr>
        <w:t>个样。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color w:val="auto"/>
          <w:highlight w:val="none"/>
          <w:lang w:val="en-US" w:eastAsia="zh-CN"/>
        </w:rPr>
      </w:pPr>
      <w:r>
        <w:rPr>
          <w:rFonts w:hint="eastAsia"/>
          <w:b/>
          <w:bCs/>
          <w:color w:val="auto"/>
          <w:highlight w:val="none"/>
          <w:lang w:val="en-US" w:eastAsia="zh-CN"/>
        </w:rPr>
        <w:t>3）其他要求：上述未罗列的日常地下水采样质量控制要求，按照日常地下水采样质量控制要求执行。</w:t>
      </w:r>
    </w:p>
    <w:p>
      <w:pPr>
        <w:ind w:left="0" w:leftChars="0" w:firstLine="0" w:firstLineChars="0"/>
        <w:rPr>
          <w:rFonts w:hint="eastAsia"/>
          <w:color w:val="auto"/>
        </w:rPr>
      </w:pPr>
    </w:p>
    <w:sectPr>
      <w:pgSz w:w="11906" w:h="16838"/>
      <w:pgMar w:top="1440" w:right="1800" w:bottom="1440" w:left="1800" w:header="850" w:footer="85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start="1"/>
      <w:cols w:space="425" w:num="1"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87C4EBF-254F-469C-BE56-30085F013A8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方正书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00D4E15C-1B4B-44AB-B92D-195B6A2E7AD2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3" w:fontKey="{3E61882B-6C87-4B27-83BD-38FA223C869A}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  <w:embedRegular r:id="rId4" w:fontKey="{085B03FE-D60C-4793-A459-92BF8F9999DC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  <w:ind w:firstLine="36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480" w:firstLine="0" w:firstLineChars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480" w:firstLine="0" w:firstLineChars="0"/>
    </w:pPr>
    <w:r>
      <w:rPr>
        <w:rFonts w:hint="eastAsia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A1EB68"/>
    <w:multiLevelType w:val="singleLevel"/>
    <w:tmpl w:val="A1A1EB68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DE20EF2B"/>
    <w:multiLevelType w:val="singleLevel"/>
    <w:tmpl w:val="DE20EF2B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FD8DB5C5"/>
    <w:multiLevelType w:val="singleLevel"/>
    <w:tmpl w:val="FD8DB5C5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2FF45CB7"/>
    <w:multiLevelType w:val="multilevel"/>
    <w:tmpl w:val="2FF45CB7"/>
    <w:lvl w:ilvl="0" w:tentative="0">
      <w:start w:val="1"/>
      <w:numFmt w:val="decimal"/>
      <w:pStyle w:val="2"/>
      <w:lvlText w:val="%1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  <w:rPr>
        <w:rFonts w:hint="eastAsia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3" w:tentative="0">
      <w:start w:val="1"/>
      <w:numFmt w:val="decimal"/>
      <w:pStyle w:val="5"/>
      <w:lvlText w:val="%1.%2.%3.%4"/>
      <w:lvlJc w:val="left"/>
      <w:pPr>
        <w:ind w:left="794" w:hanging="794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4" w:tentative="0">
      <w:start w:val="1"/>
      <w:numFmt w:val="decimal"/>
      <w:pStyle w:val="7"/>
      <w:lvlText w:val="%1.%2.%3.%4.%5"/>
      <w:lvlJc w:val="left"/>
      <w:pPr>
        <w:ind w:left="964" w:hanging="964"/>
      </w:pPr>
      <w:rPr>
        <w:rFonts w:hint="eastAsia"/>
      </w:rPr>
    </w:lvl>
    <w:lvl w:ilvl="5" w:tentative="0">
      <w:start w:val="1"/>
      <w:numFmt w:val="decimal"/>
      <w:pStyle w:val="8"/>
      <w:lvlText w:val="%1.%2.%3.%4.%5.%6"/>
      <w:lvlJc w:val="left"/>
      <w:pPr>
        <w:ind w:left="1152" w:hanging="1152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6" w:tentative="0">
      <w:start w:val="1"/>
      <w:numFmt w:val="decimal"/>
      <w:pStyle w:val="9"/>
      <w:lvlText w:val="%1.%2.%3.%4.%5.%6.%7"/>
      <w:lvlJc w:val="left"/>
      <w:pPr>
        <w:ind w:left="1296" w:hanging="1296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7" w:tentative="0">
      <w:start w:val="1"/>
      <w:numFmt w:val="decimal"/>
      <w:pStyle w:val="10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4">
    <w:nsid w:val="7BE84CA5"/>
    <w:multiLevelType w:val="singleLevel"/>
    <w:tmpl w:val="7BE84CA5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saveSubsetFonts/>
  <w:bordersDoNotSurroundHeader w:val="0"/>
  <w:bordersDoNotSurroundFooter w:val="0"/>
  <w:hideSpellingErrors/>
  <w:documentProtection w:enforcement="0"/>
  <w:defaultTabStop w:val="420"/>
  <w:drawingGridHorizontalSpacing w:val="120"/>
  <w:drawingGridVerticalSpacing w:val="163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FiZDA4NjllYjExZmY3MjljNjc4ZDU4YTI0M2Y0MTgifQ=="/>
    <w:docVar w:name="KSO_WPS_MARK_KEY" w:val="65a28909-2dd4-401e-bfbb-4325a973cfb5"/>
  </w:docVars>
  <w:rsids>
    <w:rsidRoot w:val="001960BD"/>
    <w:rsid w:val="000067AB"/>
    <w:rsid w:val="00012BBE"/>
    <w:rsid w:val="00014E2C"/>
    <w:rsid w:val="00015A9D"/>
    <w:rsid w:val="00016538"/>
    <w:rsid w:val="0002426F"/>
    <w:rsid w:val="000429D5"/>
    <w:rsid w:val="00050619"/>
    <w:rsid w:val="0005367D"/>
    <w:rsid w:val="00056857"/>
    <w:rsid w:val="00062B8E"/>
    <w:rsid w:val="000638FF"/>
    <w:rsid w:val="00063FB9"/>
    <w:rsid w:val="00070D1C"/>
    <w:rsid w:val="00074D38"/>
    <w:rsid w:val="00075D08"/>
    <w:rsid w:val="0008358D"/>
    <w:rsid w:val="000A7160"/>
    <w:rsid w:val="000C2D40"/>
    <w:rsid w:val="000C6DEB"/>
    <w:rsid w:val="000C710D"/>
    <w:rsid w:val="000C71EB"/>
    <w:rsid w:val="000D6433"/>
    <w:rsid w:val="000D7795"/>
    <w:rsid w:val="000E1EF5"/>
    <w:rsid w:val="000E2020"/>
    <w:rsid w:val="000E49D1"/>
    <w:rsid w:val="000E7ACE"/>
    <w:rsid w:val="000F689C"/>
    <w:rsid w:val="00101072"/>
    <w:rsid w:val="00107D7A"/>
    <w:rsid w:val="00110664"/>
    <w:rsid w:val="00120A4B"/>
    <w:rsid w:val="001269B5"/>
    <w:rsid w:val="00127219"/>
    <w:rsid w:val="001307CE"/>
    <w:rsid w:val="00135174"/>
    <w:rsid w:val="00135600"/>
    <w:rsid w:val="001408D1"/>
    <w:rsid w:val="0014127C"/>
    <w:rsid w:val="001458A5"/>
    <w:rsid w:val="001471BD"/>
    <w:rsid w:val="00150A64"/>
    <w:rsid w:val="00152977"/>
    <w:rsid w:val="0015760A"/>
    <w:rsid w:val="001640C4"/>
    <w:rsid w:val="001725B4"/>
    <w:rsid w:val="0017302A"/>
    <w:rsid w:val="00177830"/>
    <w:rsid w:val="00180DC2"/>
    <w:rsid w:val="00186EDA"/>
    <w:rsid w:val="0018704E"/>
    <w:rsid w:val="001913FA"/>
    <w:rsid w:val="001926E5"/>
    <w:rsid w:val="00193952"/>
    <w:rsid w:val="00193BB7"/>
    <w:rsid w:val="001960BD"/>
    <w:rsid w:val="001A0D09"/>
    <w:rsid w:val="001A6DF2"/>
    <w:rsid w:val="001B0E41"/>
    <w:rsid w:val="001B3DFD"/>
    <w:rsid w:val="001C5531"/>
    <w:rsid w:val="001C67D0"/>
    <w:rsid w:val="001C686E"/>
    <w:rsid w:val="001C6BC1"/>
    <w:rsid w:val="001D00B4"/>
    <w:rsid w:val="001D3288"/>
    <w:rsid w:val="001D3BF6"/>
    <w:rsid w:val="001D648D"/>
    <w:rsid w:val="001E47A3"/>
    <w:rsid w:val="001E62B4"/>
    <w:rsid w:val="001E692F"/>
    <w:rsid w:val="001F3727"/>
    <w:rsid w:val="001F3D2E"/>
    <w:rsid w:val="001F5199"/>
    <w:rsid w:val="001F61A0"/>
    <w:rsid w:val="002026C3"/>
    <w:rsid w:val="00203A55"/>
    <w:rsid w:val="0021248D"/>
    <w:rsid w:val="00223F48"/>
    <w:rsid w:val="00226488"/>
    <w:rsid w:val="002318F1"/>
    <w:rsid w:val="00236229"/>
    <w:rsid w:val="00242D30"/>
    <w:rsid w:val="00253DD4"/>
    <w:rsid w:val="00256C4F"/>
    <w:rsid w:val="0026572D"/>
    <w:rsid w:val="00265C3A"/>
    <w:rsid w:val="00270369"/>
    <w:rsid w:val="00273788"/>
    <w:rsid w:val="00275C1E"/>
    <w:rsid w:val="00275D56"/>
    <w:rsid w:val="0027678B"/>
    <w:rsid w:val="00276E82"/>
    <w:rsid w:val="00281431"/>
    <w:rsid w:val="002850DC"/>
    <w:rsid w:val="0029240E"/>
    <w:rsid w:val="002952B4"/>
    <w:rsid w:val="002A67E3"/>
    <w:rsid w:val="002B4A5A"/>
    <w:rsid w:val="002C0650"/>
    <w:rsid w:val="002C49AC"/>
    <w:rsid w:val="002D0051"/>
    <w:rsid w:val="002D0A3D"/>
    <w:rsid w:val="002D3390"/>
    <w:rsid w:val="002D4193"/>
    <w:rsid w:val="002D4896"/>
    <w:rsid w:val="002E37AE"/>
    <w:rsid w:val="002E514B"/>
    <w:rsid w:val="002E608C"/>
    <w:rsid w:val="002F2DC5"/>
    <w:rsid w:val="002F6AEA"/>
    <w:rsid w:val="00300903"/>
    <w:rsid w:val="003035DF"/>
    <w:rsid w:val="0030718C"/>
    <w:rsid w:val="00322566"/>
    <w:rsid w:val="00327603"/>
    <w:rsid w:val="00330A26"/>
    <w:rsid w:val="0033157F"/>
    <w:rsid w:val="00331906"/>
    <w:rsid w:val="003358DF"/>
    <w:rsid w:val="003405F1"/>
    <w:rsid w:val="00342D74"/>
    <w:rsid w:val="003457D3"/>
    <w:rsid w:val="00353204"/>
    <w:rsid w:val="00353924"/>
    <w:rsid w:val="00354196"/>
    <w:rsid w:val="00376DBE"/>
    <w:rsid w:val="003770A7"/>
    <w:rsid w:val="0038742A"/>
    <w:rsid w:val="003A0C6E"/>
    <w:rsid w:val="003A68A7"/>
    <w:rsid w:val="003B392E"/>
    <w:rsid w:val="003B3BC4"/>
    <w:rsid w:val="003C0526"/>
    <w:rsid w:val="003C0863"/>
    <w:rsid w:val="003D7512"/>
    <w:rsid w:val="003E0BD9"/>
    <w:rsid w:val="003E23FC"/>
    <w:rsid w:val="003F6712"/>
    <w:rsid w:val="00406B33"/>
    <w:rsid w:val="00411233"/>
    <w:rsid w:val="00411BE4"/>
    <w:rsid w:val="0041210D"/>
    <w:rsid w:val="0041306D"/>
    <w:rsid w:val="00417D23"/>
    <w:rsid w:val="00425459"/>
    <w:rsid w:val="00426C5F"/>
    <w:rsid w:val="004308F8"/>
    <w:rsid w:val="00436064"/>
    <w:rsid w:val="004366DC"/>
    <w:rsid w:val="0043796B"/>
    <w:rsid w:val="00437E8D"/>
    <w:rsid w:val="00441767"/>
    <w:rsid w:val="004428F1"/>
    <w:rsid w:val="00442BEA"/>
    <w:rsid w:val="004479EB"/>
    <w:rsid w:val="00452D71"/>
    <w:rsid w:val="004613C4"/>
    <w:rsid w:val="00472AC7"/>
    <w:rsid w:val="00476D88"/>
    <w:rsid w:val="00482549"/>
    <w:rsid w:val="0048563E"/>
    <w:rsid w:val="00490D3A"/>
    <w:rsid w:val="00491DB3"/>
    <w:rsid w:val="00493092"/>
    <w:rsid w:val="00496371"/>
    <w:rsid w:val="004977D5"/>
    <w:rsid w:val="00497958"/>
    <w:rsid w:val="004A1CDC"/>
    <w:rsid w:val="004A31FE"/>
    <w:rsid w:val="004B1A6A"/>
    <w:rsid w:val="004B7DB5"/>
    <w:rsid w:val="004C1D9B"/>
    <w:rsid w:val="004C28C8"/>
    <w:rsid w:val="004C525E"/>
    <w:rsid w:val="004C5A0D"/>
    <w:rsid w:val="004E064C"/>
    <w:rsid w:val="004E57F4"/>
    <w:rsid w:val="004E5F06"/>
    <w:rsid w:val="004F02CA"/>
    <w:rsid w:val="004F3C6B"/>
    <w:rsid w:val="00500434"/>
    <w:rsid w:val="00503A90"/>
    <w:rsid w:val="0050484A"/>
    <w:rsid w:val="00504C7B"/>
    <w:rsid w:val="00507D30"/>
    <w:rsid w:val="00515914"/>
    <w:rsid w:val="005226E3"/>
    <w:rsid w:val="00525455"/>
    <w:rsid w:val="00541393"/>
    <w:rsid w:val="00542B70"/>
    <w:rsid w:val="00547C4D"/>
    <w:rsid w:val="00547C83"/>
    <w:rsid w:val="00563001"/>
    <w:rsid w:val="00564BA6"/>
    <w:rsid w:val="00565F06"/>
    <w:rsid w:val="00567FF4"/>
    <w:rsid w:val="0057446D"/>
    <w:rsid w:val="00576135"/>
    <w:rsid w:val="0058009E"/>
    <w:rsid w:val="0058547E"/>
    <w:rsid w:val="00593EDB"/>
    <w:rsid w:val="005969FB"/>
    <w:rsid w:val="00596C77"/>
    <w:rsid w:val="0059748B"/>
    <w:rsid w:val="005A13D5"/>
    <w:rsid w:val="005A25A1"/>
    <w:rsid w:val="005A356E"/>
    <w:rsid w:val="005A5A7F"/>
    <w:rsid w:val="005A74D3"/>
    <w:rsid w:val="005B0D79"/>
    <w:rsid w:val="005C006D"/>
    <w:rsid w:val="005C2EC3"/>
    <w:rsid w:val="005C4C9B"/>
    <w:rsid w:val="005C5E54"/>
    <w:rsid w:val="005D280A"/>
    <w:rsid w:val="005D3BAB"/>
    <w:rsid w:val="005E44A7"/>
    <w:rsid w:val="005E5218"/>
    <w:rsid w:val="005F2E43"/>
    <w:rsid w:val="005F660E"/>
    <w:rsid w:val="00610A4A"/>
    <w:rsid w:val="00611345"/>
    <w:rsid w:val="006303EF"/>
    <w:rsid w:val="00643942"/>
    <w:rsid w:val="00643D2B"/>
    <w:rsid w:val="0064425C"/>
    <w:rsid w:val="00644E5E"/>
    <w:rsid w:val="0065064C"/>
    <w:rsid w:val="00655764"/>
    <w:rsid w:val="00655E36"/>
    <w:rsid w:val="00666E8F"/>
    <w:rsid w:val="00671E1C"/>
    <w:rsid w:val="0067203B"/>
    <w:rsid w:val="006720E3"/>
    <w:rsid w:val="00673F51"/>
    <w:rsid w:val="006847C6"/>
    <w:rsid w:val="006875FE"/>
    <w:rsid w:val="00690E3C"/>
    <w:rsid w:val="00692010"/>
    <w:rsid w:val="006938BD"/>
    <w:rsid w:val="00693CA4"/>
    <w:rsid w:val="006973C2"/>
    <w:rsid w:val="00697EB6"/>
    <w:rsid w:val="006A17BC"/>
    <w:rsid w:val="006A3B34"/>
    <w:rsid w:val="006A4535"/>
    <w:rsid w:val="006A69D3"/>
    <w:rsid w:val="006A6B4B"/>
    <w:rsid w:val="006A6E73"/>
    <w:rsid w:val="006B3474"/>
    <w:rsid w:val="006B44A4"/>
    <w:rsid w:val="006C35BD"/>
    <w:rsid w:val="006C5FB9"/>
    <w:rsid w:val="006C696C"/>
    <w:rsid w:val="006C7BE5"/>
    <w:rsid w:val="006D453F"/>
    <w:rsid w:val="006D596E"/>
    <w:rsid w:val="006D6EE1"/>
    <w:rsid w:val="006D7B51"/>
    <w:rsid w:val="006E405A"/>
    <w:rsid w:val="006F36FF"/>
    <w:rsid w:val="006F5EEC"/>
    <w:rsid w:val="00714962"/>
    <w:rsid w:val="00714FDF"/>
    <w:rsid w:val="00722B23"/>
    <w:rsid w:val="00722E20"/>
    <w:rsid w:val="00727637"/>
    <w:rsid w:val="0073495B"/>
    <w:rsid w:val="007459ED"/>
    <w:rsid w:val="00750D50"/>
    <w:rsid w:val="00755C32"/>
    <w:rsid w:val="00775C7A"/>
    <w:rsid w:val="00781A84"/>
    <w:rsid w:val="00794AA6"/>
    <w:rsid w:val="007A287E"/>
    <w:rsid w:val="007A3B7B"/>
    <w:rsid w:val="007A7993"/>
    <w:rsid w:val="007B1B48"/>
    <w:rsid w:val="007B4BA6"/>
    <w:rsid w:val="007B5693"/>
    <w:rsid w:val="007C2979"/>
    <w:rsid w:val="007C4292"/>
    <w:rsid w:val="007C7646"/>
    <w:rsid w:val="007D2A1A"/>
    <w:rsid w:val="007D383C"/>
    <w:rsid w:val="007D7C3A"/>
    <w:rsid w:val="007E1248"/>
    <w:rsid w:val="007E6670"/>
    <w:rsid w:val="007E7637"/>
    <w:rsid w:val="007F7C3D"/>
    <w:rsid w:val="0080081D"/>
    <w:rsid w:val="00803738"/>
    <w:rsid w:val="00835F88"/>
    <w:rsid w:val="00836EB5"/>
    <w:rsid w:val="008404F8"/>
    <w:rsid w:val="00853744"/>
    <w:rsid w:val="00854708"/>
    <w:rsid w:val="0085610B"/>
    <w:rsid w:val="0085686D"/>
    <w:rsid w:val="00856919"/>
    <w:rsid w:val="0085707B"/>
    <w:rsid w:val="008574E9"/>
    <w:rsid w:val="00857A8E"/>
    <w:rsid w:val="008603D5"/>
    <w:rsid w:val="00870E25"/>
    <w:rsid w:val="0087242F"/>
    <w:rsid w:val="00874282"/>
    <w:rsid w:val="008853C4"/>
    <w:rsid w:val="008862D6"/>
    <w:rsid w:val="0089057F"/>
    <w:rsid w:val="00892702"/>
    <w:rsid w:val="00893C4E"/>
    <w:rsid w:val="00895C52"/>
    <w:rsid w:val="008970FA"/>
    <w:rsid w:val="008A38FC"/>
    <w:rsid w:val="008A6E30"/>
    <w:rsid w:val="008B18F9"/>
    <w:rsid w:val="008B44B2"/>
    <w:rsid w:val="008C56DB"/>
    <w:rsid w:val="008D1861"/>
    <w:rsid w:val="008D1BCE"/>
    <w:rsid w:val="008D5974"/>
    <w:rsid w:val="008D7223"/>
    <w:rsid w:val="008D7B4B"/>
    <w:rsid w:val="008E6ACD"/>
    <w:rsid w:val="008F050D"/>
    <w:rsid w:val="009016A2"/>
    <w:rsid w:val="0090373A"/>
    <w:rsid w:val="00903DF9"/>
    <w:rsid w:val="00913A4A"/>
    <w:rsid w:val="0092018C"/>
    <w:rsid w:val="009206D8"/>
    <w:rsid w:val="00925E91"/>
    <w:rsid w:val="009272A7"/>
    <w:rsid w:val="0093302D"/>
    <w:rsid w:val="009369AB"/>
    <w:rsid w:val="009456F5"/>
    <w:rsid w:val="009458BF"/>
    <w:rsid w:val="00946ED0"/>
    <w:rsid w:val="009601E8"/>
    <w:rsid w:val="009604B5"/>
    <w:rsid w:val="00960E7A"/>
    <w:rsid w:val="009748D2"/>
    <w:rsid w:val="00974ACB"/>
    <w:rsid w:val="00982BEB"/>
    <w:rsid w:val="0099271F"/>
    <w:rsid w:val="00994C00"/>
    <w:rsid w:val="00996DFA"/>
    <w:rsid w:val="0099722F"/>
    <w:rsid w:val="009A5B29"/>
    <w:rsid w:val="009B4A80"/>
    <w:rsid w:val="009C7846"/>
    <w:rsid w:val="009C7CF3"/>
    <w:rsid w:val="009D7FE9"/>
    <w:rsid w:val="009E2F6A"/>
    <w:rsid w:val="009E33E7"/>
    <w:rsid w:val="009E796A"/>
    <w:rsid w:val="009F0AA4"/>
    <w:rsid w:val="009F0DF8"/>
    <w:rsid w:val="009F1490"/>
    <w:rsid w:val="009F25D8"/>
    <w:rsid w:val="009F2987"/>
    <w:rsid w:val="009F6E8D"/>
    <w:rsid w:val="00A00906"/>
    <w:rsid w:val="00A027BA"/>
    <w:rsid w:val="00A0287F"/>
    <w:rsid w:val="00A0373F"/>
    <w:rsid w:val="00A0392B"/>
    <w:rsid w:val="00A056BE"/>
    <w:rsid w:val="00A15ED3"/>
    <w:rsid w:val="00A162DD"/>
    <w:rsid w:val="00A21EED"/>
    <w:rsid w:val="00A22F17"/>
    <w:rsid w:val="00A264EE"/>
    <w:rsid w:val="00A26CA1"/>
    <w:rsid w:val="00A354EF"/>
    <w:rsid w:val="00A35B8A"/>
    <w:rsid w:val="00A419A1"/>
    <w:rsid w:val="00A42A54"/>
    <w:rsid w:val="00A50EBC"/>
    <w:rsid w:val="00A530E1"/>
    <w:rsid w:val="00A5428F"/>
    <w:rsid w:val="00A544B6"/>
    <w:rsid w:val="00A54FA0"/>
    <w:rsid w:val="00A60F10"/>
    <w:rsid w:val="00A61DE0"/>
    <w:rsid w:val="00A63451"/>
    <w:rsid w:val="00A66671"/>
    <w:rsid w:val="00A66D50"/>
    <w:rsid w:val="00A72695"/>
    <w:rsid w:val="00A72F28"/>
    <w:rsid w:val="00A7551D"/>
    <w:rsid w:val="00A81412"/>
    <w:rsid w:val="00A81CCA"/>
    <w:rsid w:val="00A9338A"/>
    <w:rsid w:val="00AA127D"/>
    <w:rsid w:val="00AA15D0"/>
    <w:rsid w:val="00AA2907"/>
    <w:rsid w:val="00AA2B7F"/>
    <w:rsid w:val="00AA6A4D"/>
    <w:rsid w:val="00AB0643"/>
    <w:rsid w:val="00AB2EA1"/>
    <w:rsid w:val="00AB47B7"/>
    <w:rsid w:val="00AB4D8F"/>
    <w:rsid w:val="00AB6A07"/>
    <w:rsid w:val="00AB7E85"/>
    <w:rsid w:val="00AC074A"/>
    <w:rsid w:val="00AC1D77"/>
    <w:rsid w:val="00AC262E"/>
    <w:rsid w:val="00AC7C47"/>
    <w:rsid w:val="00AD05BE"/>
    <w:rsid w:val="00AD3774"/>
    <w:rsid w:val="00AD6CF2"/>
    <w:rsid w:val="00AE6393"/>
    <w:rsid w:val="00AF0748"/>
    <w:rsid w:val="00AF5D0C"/>
    <w:rsid w:val="00AF5E5F"/>
    <w:rsid w:val="00B0431D"/>
    <w:rsid w:val="00B04F9F"/>
    <w:rsid w:val="00B11B1D"/>
    <w:rsid w:val="00B17131"/>
    <w:rsid w:val="00B17D80"/>
    <w:rsid w:val="00B208B4"/>
    <w:rsid w:val="00B20BA3"/>
    <w:rsid w:val="00B216BF"/>
    <w:rsid w:val="00B22F34"/>
    <w:rsid w:val="00B23319"/>
    <w:rsid w:val="00B23BF0"/>
    <w:rsid w:val="00B240E7"/>
    <w:rsid w:val="00B24D21"/>
    <w:rsid w:val="00B26A3D"/>
    <w:rsid w:val="00B30751"/>
    <w:rsid w:val="00B35E1E"/>
    <w:rsid w:val="00B37B4B"/>
    <w:rsid w:val="00B37BEA"/>
    <w:rsid w:val="00B427A0"/>
    <w:rsid w:val="00B474AA"/>
    <w:rsid w:val="00B51BCE"/>
    <w:rsid w:val="00B51C17"/>
    <w:rsid w:val="00B55394"/>
    <w:rsid w:val="00B560C2"/>
    <w:rsid w:val="00B567CB"/>
    <w:rsid w:val="00B62AAE"/>
    <w:rsid w:val="00B7245E"/>
    <w:rsid w:val="00B76FC9"/>
    <w:rsid w:val="00B770CD"/>
    <w:rsid w:val="00B773D1"/>
    <w:rsid w:val="00B815B0"/>
    <w:rsid w:val="00B820D9"/>
    <w:rsid w:val="00B83F7D"/>
    <w:rsid w:val="00B86DC9"/>
    <w:rsid w:val="00B97DA0"/>
    <w:rsid w:val="00BA3C49"/>
    <w:rsid w:val="00BA715B"/>
    <w:rsid w:val="00BB45BC"/>
    <w:rsid w:val="00BB533D"/>
    <w:rsid w:val="00BC54D0"/>
    <w:rsid w:val="00BC5951"/>
    <w:rsid w:val="00BD539B"/>
    <w:rsid w:val="00BD7838"/>
    <w:rsid w:val="00BE7C6D"/>
    <w:rsid w:val="00BE7FE1"/>
    <w:rsid w:val="00BF1C81"/>
    <w:rsid w:val="00BF30C7"/>
    <w:rsid w:val="00C03F0E"/>
    <w:rsid w:val="00C1438E"/>
    <w:rsid w:val="00C17077"/>
    <w:rsid w:val="00C22DCD"/>
    <w:rsid w:val="00C24A59"/>
    <w:rsid w:val="00C27C96"/>
    <w:rsid w:val="00C303D8"/>
    <w:rsid w:val="00C35625"/>
    <w:rsid w:val="00C365FB"/>
    <w:rsid w:val="00C43E16"/>
    <w:rsid w:val="00C45819"/>
    <w:rsid w:val="00C46759"/>
    <w:rsid w:val="00C54556"/>
    <w:rsid w:val="00C56CEB"/>
    <w:rsid w:val="00C63238"/>
    <w:rsid w:val="00C63BCC"/>
    <w:rsid w:val="00C66414"/>
    <w:rsid w:val="00C75352"/>
    <w:rsid w:val="00C75CFF"/>
    <w:rsid w:val="00C80C9E"/>
    <w:rsid w:val="00C813B1"/>
    <w:rsid w:val="00C82218"/>
    <w:rsid w:val="00C84D66"/>
    <w:rsid w:val="00C90C42"/>
    <w:rsid w:val="00C9117F"/>
    <w:rsid w:val="00C9428D"/>
    <w:rsid w:val="00CA5606"/>
    <w:rsid w:val="00CA5C7C"/>
    <w:rsid w:val="00CB644F"/>
    <w:rsid w:val="00CC0878"/>
    <w:rsid w:val="00CC0D8E"/>
    <w:rsid w:val="00CC7055"/>
    <w:rsid w:val="00CD4234"/>
    <w:rsid w:val="00CD4CA1"/>
    <w:rsid w:val="00CD5D04"/>
    <w:rsid w:val="00CE4C85"/>
    <w:rsid w:val="00CE790E"/>
    <w:rsid w:val="00CF7F4E"/>
    <w:rsid w:val="00D01C35"/>
    <w:rsid w:val="00D039E1"/>
    <w:rsid w:val="00D13D39"/>
    <w:rsid w:val="00D169E8"/>
    <w:rsid w:val="00D22779"/>
    <w:rsid w:val="00D22C9B"/>
    <w:rsid w:val="00D24300"/>
    <w:rsid w:val="00D25EBF"/>
    <w:rsid w:val="00D323DC"/>
    <w:rsid w:val="00D3360F"/>
    <w:rsid w:val="00D33E55"/>
    <w:rsid w:val="00D34106"/>
    <w:rsid w:val="00D343D7"/>
    <w:rsid w:val="00D368E5"/>
    <w:rsid w:val="00D40F39"/>
    <w:rsid w:val="00D41850"/>
    <w:rsid w:val="00D43399"/>
    <w:rsid w:val="00D46E24"/>
    <w:rsid w:val="00D55343"/>
    <w:rsid w:val="00D5609C"/>
    <w:rsid w:val="00D608E4"/>
    <w:rsid w:val="00D62538"/>
    <w:rsid w:val="00D628B4"/>
    <w:rsid w:val="00D7182F"/>
    <w:rsid w:val="00D71E7B"/>
    <w:rsid w:val="00D75F9E"/>
    <w:rsid w:val="00D77219"/>
    <w:rsid w:val="00D839AB"/>
    <w:rsid w:val="00D9049E"/>
    <w:rsid w:val="00D91139"/>
    <w:rsid w:val="00D95844"/>
    <w:rsid w:val="00D9753F"/>
    <w:rsid w:val="00DA4AA1"/>
    <w:rsid w:val="00DA59D3"/>
    <w:rsid w:val="00DB0F3D"/>
    <w:rsid w:val="00DB1D8C"/>
    <w:rsid w:val="00DB39CC"/>
    <w:rsid w:val="00DC1932"/>
    <w:rsid w:val="00DC20CD"/>
    <w:rsid w:val="00DC24E2"/>
    <w:rsid w:val="00DC268E"/>
    <w:rsid w:val="00DC4A2B"/>
    <w:rsid w:val="00DC7D6C"/>
    <w:rsid w:val="00DD5BF9"/>
    <w:rsid w:val="00DE23D1"/>
    <w:rsid w:val="00DE7413"/>
    <w:rsid w:val="00DF0A5D"/>
    <w:rsid w:val="00DF3A00"/>
    <w:rsid w:val="00E043B0"/>
    <w:rsid w:val="00E10141"/>
    <w:rsid w:val="00E12889"/>
    <w:rsid w:val="00E16BCA"/>
    <w:rsid w:val="00E1743C"/>
    <w:rsid w:val="00E22896"/>
    <w:rsid w:val="00E24C2D"/>
    <w:rsid w:val="00E26898"/>
    <w:rsid w:val="00E34EFA"/>
    <w:rsid w:val="00E35A7A"/>
    <w:rsid w:val="00E36DF5"/>
    <w:rsid w:val="00E4029D"/>
    <w:rsid w:val="00E41E22"/>
    <w:rsid w:val="00E453BD"/>
    <w:rsid w:val="00E4558A"/>
    <w:rsid w:val="00E46AAE"/>
    <w:rsid w:val="00E47C68"/>
    <w:rsid w:val="00E54A0B"/>
    <w:rsid w:val="00E54DF7"/>
    <w:rsid w:val="00E6500B"/>
    <w:rsid w:val="00E66ED3"/>
    <w:rsid w:val="00E70D6F"/>
    <w:rsid w:val="00E730A3"/>
    <w:rsid w:val="00E7482A"/>
    <w:rsid w:val="00E7488A"/>
    <w:rsid w:val="00E751A2"/>
    <w:rsid w:val="00E80F1E"/>
    <w:rsid w:val="00E822AE"/>
    <w:rsid w:val="00E835BF"/>
    <w:rsid w:val="00E86145"/>
    <w:rsid w:val="00E868FF"/>
    <w:rsid w:val="00E913AF"/>
    <w:rsid w:val="00E92730"/>
    <w:rsid w:val="00E92756"/>
    <w:rsid w:val="00E959A1"/>
    <w:rsid w:val="00EA0FC1"/>
    <w:rsid w:val="00EA183B"/>
    <w:rsid w:val="00EA23D6"/>
    <w:rsid w:val="00EA24E4"/>
    <w:rsid w:val="00EA3EBC"/>
    <w:rsid w:val="00EA6132"/>
    <w:rsid w:val="00EB0E46"/>
    <w:rsid w:val="00EC1AE9"/>
    <w:rsid w:val="00EC1BE0"/>
    <w:rsid w:val="00EC5C37"/>
    <w:rsid w:val="00EC5C88"/>
    <w:rsid w:val="00ED0BA8"/>
    <w:rsid w:val="00ED0E5F"/>
    <w:rsid w:val="00ED147C"/>
    <w:rsid w:val="00ED3AD9"/>
    <w:rsid w:val="00ED4C65"/>
    <w:rsid w:val="00ED4F7A"/>
    <w:rsid w:val="00ED6DCB"/>
    <w:rsid w:val="00ED7AFE"/>
    <w:rsid w:val="00EE4A42"/>
    <w:rsid w:val="00EE51BA"/>
    <w:rsid w:val="00EE7770"/>
    <w:rsid w:val="00EF3D79"/>
    <w:rsid w:val="00EF5CEF"/>
    <w:rsid w:val="00F11339"/>
    <w:rsid w:val="00F12242"/>
    <w:rsid w:val="00F1644C"/>
    <w:rsid w:val="00F25E88"/>
    <w:rsid w:val="00F3282A"/>
    <w:rsid w:val="00F4225E"/>
    <w:rsid w:val="00F44C30"/>
    <w:rsid w:val="00F5511E"/>
    <w:rsid w:val="00F552C6"/>
    <w:rsid w:val="00F6078D"/>
    <w:rsid w:val="00F62E89"/>
    <w:rsid w:val="00F64B3D"/>
    <w:rsid w:val="00F72266"/>
    <w:rsid w:val="00F751A9"/>
    <w:rsid w:val="00F82A12"/>
    <w:rsid w:val="00F84127"/>
    <w:rsid w:val="00F867B6"/>
    <w:rsid w:val="00F873D1"/>
    <w:rsid w:val="00F90D26"/>
    <w:rsid w:val="00F91368"/>
    <w:rsid w:val="00FA09A9"/>
    <w:rsid w:val="00FA58BF"/>
    <w:rsid w:val="00FA5F1A"/>
    <w:rsid w:val="00FB1721"/>
    <w:rsid w:val="00FB469E"/>
    <w:rsid w:val="00FB5091"/>
    <w:rsid w:val="00FB5307"/>
    <w:rsid w:val="00FC3601"/>
    <w:rsid w:val="00FC4B92"/>
    <w:rsid w:val="00FD0884"/>
    <w:rsid w:val="00FD35A3"/>
    <w:rsid w:val="00FD464F"/>
    <w:rsid w:val="00FD5750"/>
    <w:rsid w:val="00FD5831"/>
    <w:rsid w:val="00FD59CC"/>
    <w:rsid w:val="00FF3106"/>
    <w:rsid w:val="05B5756B"/>
    <w:rsid w:val="09A31BB1"/>
    <w:rsid w:val="0D6C3835"/>
    <w:rsid w:val="0E7159E2"/>
    <w:rsid w:val="0FFF0C66"/>
    <w:rsid w:val="154B1822"/>
    <w:rsid w:val="16564D5F"/>
    <w:rsid w:val="1C2208E7"/>
    <w:rsid w:val="1CB048F4"/>
    <w:rsid w:val="2034268B"/>
    <w:rsid w:val="2087286B"/>
    <w:rsid w:val="26C5066C"/>
    <w:rsid w:val="27B9788E"/>
    <w:rsid w:val="31D67A68"/>
    <w:rsid w:val="3934638C"/>
    <w:rsid w:val="39B051C8"/>
    <w:rsid w:val="3F5B3839"/>
    <w:rsid w:val="41C84CDA"/>
    <w:rsid w:val="429F5C74"/>
    <w:rsid w:val="44513C36"/>
    <w:rsid w:val="46795381"/>
    <w:rsid w:val="48593348"/>
    <w:rsid w:val="4B582584"/>
    <w:rsid w:val="4C143A28"/>
    <w:rsid w:val="50E23A34"/>
    <w:rsid w:val="53DC7FBC"/>
    <w:rsid w:val="5CB85D2B"/>
    <w:rsid w:val="5CC35200"/>
    <w:rsid w:val="5E7058AA"/>
    <w:rsid w:val="60E166BC"/>
    <w:rsid w:val="64F45994"/>
    <w:rsid w:val="68A35D74"/>
    <w:rsid w:val="6F861887"/>
    <w:rsid w:val="768846A2"/>
    <w:rsid w:val="799859F8"/>
    <w:rsid w:val="7DA21751"/>
    <w:rsid w:val="7DF7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1" w:semiHidden="0" w:name="heading 2"/>
    <w:lsdException w:qFormat="1" w:uiPriority="1" w:semiHidden="0" w:name="heading 3"/>
    <w:lsdException w:qFormat="1" w:uiPriority="1" w:semiHidden="0" w:name="heading 4"/>
    <w:lsdException w:qFormat="1" w:uiPriority="1" w:semiHidden="0" w:name="heading 5"/>
    <w:lsdException w:qFormat="1" w:uiPriority="9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qFormat="1" w:uiPriority="0" w:semiHidden="0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qFormat="1" w:uiPriority="99" w:semiHidden="0" w:name="table of figures"/>
    <w:lsdException w:uiPriority="99" w:name="envelope address"/>
    <w:lsdException w:uiPriority="99" w:name="envelope return"/>
    <w:lsdException w:qFormat="1" w:uiPriority="99" w:semiHidden="0" w:name="footnote reference"/>
    <w:lsdException w:qFormat="1" w:uiPriority="99" w:semiHidden="0" w:name="annotation reference"/>
    <w:lsdException w:uiPriority="99" w:name="line number"/>
    <w:lsdException w:qFormat="1" w:unhideWhenUsed="0" w:uiPriority="0" w:semiHidden="0" w:name="page number"/>
    <w:lsdException w:qFormat="1" w:uiPriority="99" w:semiHidden="0" w:name="endnote reference"/>
    <w:lsdException w:qFormat="1" w:uiPriority="99" w:semiHidden="0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22" w:semiHidden="0" w:name="Strong"/>
    <w:lsdException w:unhideWhenUsed="0" w:uiPriority="20" w:semiHidden="0" w:name="Emphasis"/>
    <w:lsdException w:qFormat="1" w:uiPriority="99" w:semiHidden="0" w:name="Document Map"/>
    <w:lsdException w:qFormat="1"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  <w:ind w:firstLine="200" w:firstLineChars="200"/>
      <w:jc w:val="both"/>
    </w:pPr>
    <w:rPr>
      <w:rFonts w:ascii="Times New Roman" w:hAnsi="Times New Roman" w:eastAsia="宋体" w:cs="宋体"/>
      <w:kern w:val="0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9"/>
    <w:qFormat/>
    <w:uiPriority w:val="1"/>
    <w:pPr>
      <w:keepNext/>
      <w:keepLines/>
      <w:numPr>
        <w:ilvl w:val="0"/>
        <w:numId w:val="1"/>
      </w:numPr>
      <w:spacing w:before="240" w:after="240"/>
      <w:ind w:left="0" w:firstLine="0" w:firstLineChars="0"/>
      <w:outlineLvl w:val="0"/>
    </w:pPr>
    <w:rPr>
      <w:b/>
      <w:bCs/>
      <w:kern w:val="44"/>
      <w:sz w:val="36"/>
      <w:szCs w:val="44"/>
    </w:rPr>
  </w:style>
  <w:style w:type="paragraph" w:styleId="3">
    <w:name w:val="heading 2"/>
    <w:basedOn w:val="1"/>
    <w:next w:val="1"/>
    <w:link w:val="48"/>
    <w:unhideWhenUsed/>
    <w:qFormat/>
    <w:uiPriority w:val="1"/>
    <w:pPr>
      <w:keepNext/>
      <w:keepLines/>
      <w:numPr>
        <w:ilvl w:val="1"/>
        <w:numId w:val="1"/>
      </w:numPr>
      <w:spacing w:before="120" w:after="120"/>
      <w:ind w:left="0" w:firstLine="0" w:firstLineChars="0"/>
      <w:outlineLvl w:val="1"/>
    </w:pPr>
    <w:rPr>
      <w:rFonts w:cs="Times New Roman"/>
      <w:b/>
      <w:bCs/>
      <w:kern w:val="2"/>
      <w:sz w:val="32"/>
      <w:szCs w:val="32"/>
    </w:rPr>
  </w:style>
  <w:style w:type="paragraph" w:styleId="4">
    <w:name w:val="heading 3"/>
    <w:basedOn w:val="1"/>
    <w:next w:val="1"/>
    <w:link w:val="50"/>
    <w:unhideWhenUsed/>
    <w:qFormat/>
    <w:uiPriority w:val="1"/>
    <w:pPr>
      <w:numPr>
        <w:ilvl w:val="2"/>
        <w:numId w:val="1"/>
      </w:numPr>
      <w:spacing w:before="50" w:beforeLines="50" w:after="50" w:afterLines="50"/>
      <w:ind w:left="0" w:firstLine="0" w:firstLineChars="0"/>
      <w:jc w:val="left"/>
      <w:outlineLvl w:val="2"/>
    </w:pPr>
    <w:rPr>
      <w:b/>
      <w:sz w:val="30"/>
      <w:szCs w:val="28"/>
    </w:rPr>
  </w:style>
  <w:style w:type="paragraph" w:styleId="5">
    <w:name w:val="heading 4"/>
    <w:basedOn w:val="1"/>
    <w:next w:val="6"/>
    <w:link w:val="53"/>
    <w:unhideWhenUsed/>
    <w:qFormat/>
    <w:uiPriority w:val="1"/>
    <w:pPr>
      <w:keepNext/>
      <w:keepLines/>
      <w:numPr>
        <w:ilvl w:val="3"/>
        <w:numId w:val="1"/>
      </w:numPr>
      <w:ind w:left="0" w:firstLine="0" w:firstLineChars="0"/>
      <w:jc w:val="left"/>
      <w:outlineLvl w:val="3"/>
    </w:pPr>
    <w:rPr>
      <w:rFonts w:cs="Times New Roman"/>
      <w:b/>
      <w:color w:val="000000"/>
      <w:szCs w:val="28"/>
      <w:lang w:val="zh-CN"/>
    </w:rPr>
  </w:style>
  <w:style w:type="paragraph" w:styleId="7">
    <w:name w:val="heading 5"/>
    <w:basedOn w:val="1"/>
    <w:next w:val="1"/>
    <w:link w:val="59"/>
    <w:unhideWhenUsed/>
    <w:qFormat/>
    <w:uiPriority w:val="1"/>
    <w:pPr>
      <w:keepNext/>
      <w:keepLines/>
      <w:numPr>
        <w:ilvl w:val="4"/>
        <w:numId w:val="1"/>
      </w:numPr>
      <w:ind w:left="0" w:firstLine="0" w:firstLineChars="0"/>
      <w:jc w:val="left"/>
      <w:outlineLvl w:val="4"/>
    </w:pPr>
    <w:rPr>
      <w:b/>
      <w:bCs/>
      <w:color w:val="000000"/>
      <w:kern w:val="2"/>
      <w:szCs w:val="28"/>
    </w:rPr>
  </w:style>
  <w:style w:type="paragraph" w:styleId="8">
    <w:name w:val="heading 6"/>
    <w:basedOn w:val="1"/>
    <w:next w:val="1"/>
    <w:link w:val="60"/>
    <w:unhideWhenUsed/>
    <w:qFormat/>
    <w:uiPriority w:val="9"/>
    <w:pPr>
      <w:keepNext/>
      <w:keepLines/>
      <w:numPr>
        <w:ilvl w:val="5"/>
        <w:numId w:val="1"/>
      </w:numPr>
      <w:ind w:left="0" w:firstLine="0" w:firstLineChars="0"/>
      <w:jc w:val="left"/>
      <w:outlineLvl w:val="5"/>
    </w:pPr>
    <w:rPr>
      <w:b/>
      <w:bCs/>
    </w:rPr>
  </w:style>
  <w:style w:type="paragraph" w:styleId="9">
    <w:name w:val="heading 7"/>
    <w:basedOn w:val="1"/>
    <w:next w:val="1"/>
    <w:link w:val="61"/>
    <w:unhideWhenUsed/>
    <w:qFormat/>
    <w:uiPriority w:val="0"/>
    <w:pPr>
      <w:keepNext/>
      <w:keepLines/>
      <w:numPr>
        <w:ilvl w:val="6"/>
        <w:numId w:val="1"/>
      </w:numPr>
      <w:spacing w:after="240"/>
      <w:ind w:firstLine="0" w:firstLineChars="0"/>
      <w:jc w:val="center"/>
      <w:outlineLvl w:val="6"/>
    </w:pPr>
    <w:rPr>
      <w:rFonts w:eastAsia="黑体"/>
      <w:b/>
      <w:bCs/>
    </w:rPr>
  </w:style>
  <w:style w:type="paragraph" w:styleId="10">
    <w:name w:val="heading 8"/>
    <w:basedOn w:val="1"/>
    <w:next w:val="1"/>
    <w:link w:val="62"/>
    <w:unhideWhenUsed/>
    <w:qFormat/>
    <w:uiPriority w:val="0"/>
    <w:pPr>
      <w:keepNext/>
      <w:keepLines/>
      <w:numPr>
        <w:ilvl w:val="7"/>
        <w:numId w:val="1"/>
      </w:numPr>
      <w:spacing w:after="240"/>
      <w:ind w:firstLine="0" w:firstLineChars="0"/>
      <w:jc w:val="center"/>
      <w:outlineLvl w:val="7"/>
    </w:pPr>
    <w:rPr>
      <w:rFonts w:ascii="Cambria" w:hAnsi="Cambria" w:eastAsia="黑体"/>
      <w:b/>
    </w:rPr>
  </w:style>
  <w:style w:type="paragraph" w:styleId="11">
    <w:name w:val="heading 9"/>
    <w:basedOn w:val="1"/>
    <w:next w:val="1"/>
    <w:link w:val="63"/>
    <w:unhideWhenUsed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ind w:firstLine="0" w:firstLineChars="0"/>
      <w:outlineLvl w:val="8"/>
    </w:pPr>
    <w:rPr>
      <w:rFonts w:ascii="Cambria" w:hAnsi="Cambria"/>
      <w:szCs w:val="21"/>
    </w:rPr>
  </w:style>
  <w:style w:type="character" w:default="1" w:styleId="40">
    <w:name w:val="Default Paragraph Font"/>
    <w:unhideWhenUsed/>
    <w:qFormat/>
    <w:uiPriority w:val="1"/>
  </w:style>
  <w:style w:type="table" w:default="1" w:styleId="3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next w:val="5"/>
    <w:qFormat/>
    <w:uiPriority w:val="0"/>
    <w:pPr>
      <w:adjustRightInd w:val="0"/>
      <w:spacing w:line="360" w:lineRule="atLeast"/>
      <w:ind w:firstLine="420" w:firstLineChars="0"/>
      <w:jc w:val="left"/>
      <w:textAlignment w:val="baseline"/>
    </w:pPr>
    <w:rPr>
      <w:kern w:val="0"/>
      <w:szCs w:val="20"/>
    </w:rPr>
  </w:style>
  <w:style w:type="paragraph" w:styleId="12">
    <w:name w:val="toc 7"/>
    <w:basedOn w:val="1"/>
    <w:next w:val="1"/>
    <w:unhideWhenUsed/>
    <w:qFormat/>
    <w:uiPriority w:val="39"/>
    <w:pPr>
      <w:ind w:left="1680"/>
      <w:jc w:val="left"/>
    </w:pPr>
    <w:rPr>
      <w:rFonts w:asciiTheme="minorHAnsi" w:eastAsiaTheme="minorHAnsi"/>
      <w:sz w:val="18"/>
      <w:szCs w:val="18"/>
    </w:rPr>
  </w:style>
  <w:style w:type="paragraph" w:styleId="13">
    <w:name w:val="caption"/>
    <w:basedOn w:val="1"/>
    <w:next w:val="1"/>
    <w:semiHidden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14">
    <w:name w:val="Document Map"/>
    <w:basedOn w:val="1"/>
    <w:link w:val="65"/>
    <w:unhideWhenUsed/>
    <w:qFormat/>
    <w:uiPriority w:val="99"/>
    <w:rPr>
      <w:sz w:val="18"/>
      <w:szCs w:val="18"/>
    </w:rPr>
  </w:style>
  <w:style w:type="paragraph" w:styleId="15">
    <w:name w:val="annotation text"/>
    <w:basedOn w:val="1"/>
    <w:link w:val="66"/>
    <w:unhideWhenUsed/>
    <w:qFormat/>
    <w:uiPriority w:val="99"/>
  </w:style>
  <w:style w:type="paragraph" w:styleId="16">
    <w:name w:val="Body Text"/>
    <w:basedOn w:val="1"/>
    <w:link w:val="289"/>
    <w:unhideWhenUsed/>
    <w:qFormat/>
    <w:uiPriority w:val="99"/>
    <w:pPr>
      <w:widowControl w:val="0"/>
      <w:autoSpaceDE w:val="0"/>
      <w:autoSpaceDN w:val="0"/>
      <w:spacing w:line="240" w:lineRule="auto"/>
      <w:ind w:firstLine="0" w:firstLineChars="0"/>
      <w:jc w:val="left"/>
    </w:pPr>
    <w:rPr>
      <w:rFonts w:ascii="宋体" w:hAnsi="宋体"/>
      <w:sz w:val="30"/>
      <w:szCs w:val="30"/>
    </w:rPr>
  </w:style>
  <w:style w:type="paragraph" w:styleId="17">
    <w:name w:val="toc 5"/>
    <w:basedOn w:val="1"/>
    <w:next w:val="1"/>
    <w:unhideWhenUsed/>
    <w:qFormat/>
    <w:uiPriority w:val="39"/>
    <w:pPr>
      <w:ind w:left="1120"/>
      <w:jc w:val="left"/>
    </w:pPr>
    <w:rPr>
      <w:rFonts w:asciiTheme="minorHAnsi" w:eastAsiaTheme="minorHAnsi"/>
      <w:sz w:val="18"/>
      <w:szCs w:val="18"/>
    </w:rPr>
  </w:style>
  <w:style w:type="paragraph" w:styleId="18">
    <w:name w:val="toc 3"/>
    <w:basedOn w:val="1"/>
    <w:next w:val="1"/>
    <w:unhideWhenUsed/>
    <w:qFormat/>
    <w:uiPriority w:val="39"/>
    <w:pPr>
      <w:ind w:left="560"/>
      <w:jc w:val="left"/>
    </w:pPr>
    <w:rPr>
      <w:rFonts w:asciiTheme="minorHAnsi" w:eastAsiaTheme="minorHAnsi"/>
      <w:i/>
      <w:iCs/>
      <w:sz w:val="20"/>
      <w:szCs w:val="20"/>
    </w:rPr>
  </w:style>
  <w:style w:type="paragraph" w:styleId="19">
    <w:name w:val="Plain Text"/>
    <w:basedOn w:val="1"/>
    <w:link w:val="286"/>
    <w:semiHidden/>
    <w:unhideWhenUsed/>
    <w:qFormat/>
    <w:uiPriority w:val="99"/>
    <w:rPr>
      <w:rFonts w:ascii="宋体" w:hAnsi="Courier New" w:cs="Courier New"/>
      <w:sz w:val="21"/>
      <w:szCs w:val="21"/>
    </w:rPr>
  </w:style>
  <w:style w:type="paragraph" w:styleId="20">
    <w:name w:val="toc 8"/>
    <w:basedOn w:val="1"/>
    <w:next w:val="1"/>
    <w:unhideWhenUsed/>
    <w:qFormat/>
    <w:uiPriority w:val="39"/>
    <w:pPr>
      <w:ind w:left="1960"/>
      <w:jc w:val="left"/>
    </w:pPr>
    <w:rPr>
      <w:rFonts w:asciiTheme="minorHAnsi" w:eastAsiaTheme="minorHAnsi"/>
      <w:sz w:val="18"/>
      <w:szCs w:val="18"/>
    </w:rPr>
  </w:style>
  <w:style w:type="paragraph" w:styleId="21">
    <w:name w:val="Date"/>
    <w:basedOn w:val="1"/>
    <w:next w:val="1"/>
    <w:link w:val="67"/>
    <w:unhideWhenUsed/>
    <w:qFormat/>
    <w:uiPriority w:val="99"/>
    <w:pPr>
      <w:ind w:left="100" w:leftChars="2500"/>
    </w:pPr>
  </w:style>
  <w:style w:type="paragraph" w:styleId="22">
    <w:name w:val="Body Text Indent 2"/>
    <w:basedOn w:val="1"/>
    <w:next w:val="1"/>
    <w:link w:val="278"/>
    <w:qFormat/>
    <w:uiPriority w:val="0"/>
    <w:pPr>
      <w:widowControl w:val="0"/>
      <w:adjustRightInd w:val="0"/>
      <w:snapToGrid w:val="0"/>
      <w:spacing w:line="520" w:lineRule="exact"/>
      <w:ind w:firstLine="640"/>
    </w:pPr>
    <w:rPr>
      <w:rFonts w:eastAsia="仿宋_GB2312" w:cs="Times New Roman"/>
      <w:color w:val="000000"/>
      <w:kern w:val="2"/>
      <w:sz w:val="32"/>
    </w:rPr>
  </w:style>
  <w:style w:type="paragraph" w:styleId="23">
    <w:name w:val="endnote text"/>
    <w:basedOn w:val="1"/>
    <w:link w:val="68"/>
    <w:unhideWhenUsed/>
    <w:qFormat/>
    <w:uiPriority w:val="99"/>
    <w:pPr>
      <w:snapToGrid w:val="0"/>
    </w:pPr>
  </w:style>
  <w:style w:type="paragraph" w:styleId="24">
    <w:name w:val="Balloon Text"/>
    <w:basedOn w:val="1"/>
    <w:link w:val="69"/>
    <w:unhideWhenUsed/>
    <w:qFormat/>
    <w:uiPriority w:val="99"/>
    <w:rPr>
      <w:sz w:val="18"/>
      <w:szCs w:val="18"/>
    </w:rPr>
  </w:style>
  <w:style w:type="paragraph" w:styleId="25">
    <w:name w:val="footer"/>
    <w:basedOn w:val="1"/>
    <w:link w:val="5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26">
    <w:name w:val="header"/>
    <w:basedOn w:val="1"/>
    <w:link w:val="7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toc 1"/>
    <w:basedOn w:val="1"/>
    <w:next w:val="1"/>
    <w:unhideWhenUsed/>
    <w:qFormat/>
    <w:uiPriority w:val="39"/>
    <w:pPr>
      <w:jc w:val="left"/>
    </w:pPr>
    <w:rPr>
      <w:rFonts w:asciiTheme="minorHAnsi" w:eastAsiaTheme="minorHAnsi"/>
      <w:b/>
      <w:bCs/>
      <w:caps/>
      <w:sz w:val="20"/>
      <w:szCs w:val="20"/>
    </w:rPr>
  </w:style>
  <w:style w:type="paragraph" w:styleId="28">
    <w:name w:val="toc 4"/>
    <w:basedOn w:val="1"/>
    <w:next w:val="1"/>
    <w:unhideWhenUsed/>
    <w:qFormat/>
    <w:uiPriority w:val="39"/>
    <w:pPr>
      <w:ind w:left="840"/>
      <w:jc w:val="left"/>
    </w:pPr>
    <w:rPr>
      <w:rFonts w:asciiTheme="minorHAnsi" w:eastAsiaTheme="minorHAnsi"/>
      <w:sz w:val="18"/>
      <w:szCs w:val="18"/>
    </w:rPr>
  </w:style>
  <w:style w:type="paragraph" w:styleId="29">
    <w:name w:val="Subtitle"/>
    <w:basedOn w:val="1"/>
    <w:next w:val="1"/>
    <w:link w:val="72"/>
    <w:qFormat/>
    <w:uiPriority w:val="11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30">
    <w:name w:val="footnote text"/>
    <w:basedOn w:val="1"/>
    <w:link w:val="73"/>
    <w:unhideWhenUsed/>
    <w:qFormat/>
    <w:uiPriority w:val="0"/>
    <w:pPr>
      <w:snapToGrid w:val="0"/>
    </w:pPr>
    <w:rPr>
      <w:sz w:val="18"/>
      <w:szCs w:val="18"/>
    </w:rPr>
  </w:style>
  <w:style w:type="paragraph" w:styleId="31">
    <w:name w:val="toc 6"/>
    <w:basedOn w:val="1"/>
    <w:next w:val="1"/>
    <w:unhideWhenUsed/>
    <w:qFormat/>
    <w:uiPriority w:val="39"/>
    <w:pPr>
      <w:ind w:left="1400"/>
      <w:jc w:val="left"/>
    </w:pPr>
    <w:rPr>
      <w:rFonts w:asciiTheme="minorHAnsi" w:eastAsiaTheme="minorHAnsi"/>
      <w:sz w:val="18"/>
      <w:szCs w:val="18"/>
    </w:rPr>
  </w:style>
  <w:style w:type="paragraph" w:styleId="32">
    <w:name w:val="table of figures"/>
    <w:basedOn w:val="1"/>
    <w:next w:val="1"/>
    <w:unhideWhenUsed/>
    <w:qFormat/>
    <w:uiPriority w:val="99"/>
    <w:pPr>
      <w:ind w:left="200" w:leftChars="200" w:hanging="200" w:hangingChars="200"/>
    </w:pPr>
  </w:style>
  <w:style w:type="paragraph" w:styleId="33">
    <w:name w:val="toc 2"/>
    <w:basedOn w:val="1"/>
    <w:next w:val="1"/>
    <w:unhideWhenUsed/>
    <w:qFormat/>
    <w:uiPriority w:val="39"/>
    <w:pPr>
      <w:ind w:left="280"/>
      <w:jc w:val="left"/>
    </w:pPr>
    <w:rPr>
      <w:rFonts w:asciiTheme="minorHAnsi" w:eastAsiaTheme="minorHAnsi"/>
      <w:smallCaps/>
      <w:sz w:val="20"/>
      <w:szCs w:val="20"/>
    </w:rPr>
  </w:style>
  <w:style w:type="paragraph" w:styleId="34">
    <w:name w:val="toc 9"/>
    <w:basedOn w:val="1"/>
    <w:next w:val="1"/>
    <w:unhideWhenUsed/>
    <w:qFormat/>
    <w:uiPriority w:val="39"/>
    <w:pPr>
      <w:ind w:left="2240"/>
      <w:jc w:val="left"/>
    </w:pPr>
    <w:rPr>
      <w:rFonts w:asciiTheme="minorHAnsi" w:eastAsiaTheme="minorHAnsi"/>
      <w:sz w:val="18"/>
      <w:szCs w:val="18"/>
    </w:rPr>
  </w:style>
  <w:style w:type="paragraph" w:styleId="35">
    <w:name w:val="Normal (Web)"/>
    <w:basedOn w:val="1"/>
    <w:unhideWhenUsed/>
    <w:qFormat/>
    <w:uiPriority w:val="99"/>
    <w:pPr>
      <w:spacing w:before="100" w:beforeAutospacing="1" w:after="100" w:afterAutospacing="1" w:line="240" w:lineRule="auto"/>
      <w:ind w:firstLine="0" w:firstLineChars="0"/>
    </w:pPr>
    <w:rPr>
      <w:rFonts w:ascii="宋体" w:hAnsi="宋体"/>
    </w:rPr>
  </w:style>
  <w:style w:type="paragraph" w:styleId="36">
    <w:name w:val="Title"/>
    <w:basedOn w:val="1"/>
    <w:next w:val="1"/>
    <w:link w:val="133"/>
    <w:qFormat/>
    <w:uiPriority w:val="0"/>
    <w:pPr>
      <w:spacing w:before="240" w:after="60"/>
      <w:jc w:val="center"/>
      <w:outlineLvl w:val="0"/>
    </w:pPr>
    <w:rPr>
      <w:rFonts w:ascii="等线 Light" w:hAnsi="等线 Light" w:eastAsia="等线 Light" w:cs="Times New Roman"/>
      <w:b/>
      <w:bCs/>
      <w:kern w:val="2"/>
      <w:sz w:val="32"/>
      <w:szCs w:val="32"/>
    </w:rPr>
  </w:style>
  <w:style w:type="paragraph" w:styleId="37">
    <w:name w:val="annotation subject"/>
    <w:basedOn w:val="15"/>
    <w:next w:val="15"/>
    <w:link w:val="74"/>
    <w:unhideWhenUsed/>
    <w:qFormat/>
    <w:uiPriority w:val="99"/>
    <w:rPr>
      <w:b/>
      <w:bCs/>
    </w:rPr>
  </w:style>
  <w:style w:type="table" w:styleId="39">
    <w:name w:val="Table Grid"/>
    <w:basedOn w:val="3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1">
    <w:name w:val="Strong"/>
    <w:basedOn w:val="40"/>
    <w:qFormat/>
    <w:uiPriority w:val="22"/>
    <w:rPr>
      <w:b/>
      <w:bCs/>
    </w:rPr>
  </w:style>
  <w:style w:type="character" w:styleId="42">
    <w:name w:val="endnote reference"/>
    <w:basedOn w:val="40"/>
    <w:unhideWhenUsed/>
    <w:qFormat/>
    <w:uiPriority w:val="99"/>
    <w:rPr>
      <w:vertAlign w:val="superscript"/>
    </w:rPr>
  </w:style>
  <w:style w:type="character" w:styleId="43">
    <w:name w:val="page number"/>
    <w:basedOn w:val="40"/>
    <w:qFormat/>
    <w:uiPriority w:val="0"/>
  </w:style>
  <w:style w:type="character" w:styleId="44">
    <w:name w:val="FollowedHyperlink"/>
    <w:basedOn w:val="40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45">
    <w:name w:val="Hyperlink"/>
    <w:basedOn w:val="40"/>
    <w:qFormat/>
    <w:uiPriority w:val="99"/>
    <w:rPr>
      <w:color w:val="261CDC"/>
      <w:u w:val="single"/>
    </w:rPr>
  </w:style>
  <w:style w:type="character" w:styleId="46">
    <w:name w:val="annotation reference"/>
    <w:basedOn w:val="40"/>
    <w:unhideWhenUsed/>
    <w:qFormat/>
    <w:uiPriority w:val="99"/>
    <w:rPr>
      <w:sz w:val="21"/>
      <w:szCs w:val="21"/>
    </w:rPr>
  </w:style>
  <w:style w:type="character" w:styleId="47">
    <w:name w:val="footnote reference"/>
    <w:basedOn w:val="40"/>
    <w:unhideWhenUsed/>
    <w:qFormat/>
    <w:uiPriority w:val="99"/>
    <w:rPr>
      <w:vertAlign w:val="superscript"/>
    </w:rPr>
  </w:style>
  <w:style w:type="character" w:customStyle="1" w:styleId="48">
    <w:name w:val="标题 2 字符"/>
    <w:basedOn w:val="40"/>
    <w:link w:val="3"/>
    <w:qFormat/>
    <w:uiPriority w:val="9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49">
    <w:name w:val="标题 1 字符"/>
    <w:basedOn w:val="40"/>
    <w:link w:val="2"/>
    <w:qFormat/>
    <w:uiPriority w:val="9"/>
    <w:rPr>
      <w:rFonts w:ascii="Times New Roman" w:hAnsi="Times New Roman" w:eastAsia="宋体" w:cs="宋体"/>
      <w:b/>
      <w:bCs/>
      <w:kern w:val="44"/>
      <w:sz w:val="36"/>
      <w:szCs w:val="44"/>
    </w:rPr>
  </w:style>
  <w:style w:type="character" w:customStyle="1" w:styleId="50">
    <w:name w:val="标题 3 字符"/>
    <w:basedOn w:val="40"/>
    <w:link w:val="4"/>
    <w:qFormat/>
    <w:uiPriority w:val="9"/>
    <w:rPr>
      <w:rFonts w:ascii="Times New Roman" w:hAnsi="Times New Roman" w:eastAsia="宋体" w:cs="宋体"/>
      <w:b/>
      <w:kern w:val="0"/>
      <w:sz w:val="30"/>
      <w:szCs w:val="28"/>
    </w:rPr>
  </w:style>
  <w:style w:type="character" w:customStyle="1" w:styleId="51">
    <w:name w:val="页脚 字符"/>
    <w:basedOn w:val="40"/>
    <w:link w:val="25"/>
    <w:qFormat/>
    <w:uiPriority w:val="99"/>
    <w:rPr>
      <w:rFonts w:ascii="Times New Roman" w:hAnsi="Times New Roman" w:eastAsia="宋体" w:cs="宋体"/>
      <w:kern w:val="0"/>
      <w:sz w:val="18"/>
      <w:szCs w:val="18"/>
    </w:rPr>
  </w:style>
  <w:style w:type="paragraph" w:customStyle="1" w:styleId="52">
    <w:name w:val="标题 21"/>
    <w:basedOn w:val="1"/>
    <w:next w:val="1"/>
    <w:unhideWhenUsed/>
    <w:qFormat/>
    <w:uiPriority w:val="9"/>
    <w:pPr>
      <w:keepNext/>
      <w:keepLines/>
      <w:ind w:firstLine="0" w:firstLineChars="0"/>
      <w:outlineLvl w:val="1"/>
    </w:pPr>
    <w:rPr>
      <w:rFonts w:eastAsia="黑体" w:cs="Times New Roman"/>
      <w:b/>
      <w:bCs/>
      <w:szCs w:val="32"/>
    </w:rPr>
  </w:style>
  <w:style w:type="character" w:customStyle="1" w:styleId="53">
    <w:name w:val="标题 4 字符"/>
    <w:basedOn w:val="40"/>
    <w:link w:val="5"/>
    <w:qFormat/>
    <w:uiPriority w:val="9"/>
    <w:rPr>
      <w:rFonts w:ascii="Times New Roman" w:hAnsi="Times New Roman" w:eastAsia="宋体" w:cs="Times New Roman"/>
      <w:b/>
      <w:color w:val="000000"/>
      <w:kern w:val="0"/>
      <w:sz w:val="24"/>
      <w:szCs w:val="28"/>
      <w:lang w:val="zh-CN"/>
    </w:rPr>
  </w:style>
  <w:style w:type="paragraph" w:customStyle="1" w:styleId="54">
    <w:name w:val="标题 51"/>
    <w:basedOn w:val="1"/>
    <w:next w:val="1"/>
    <w:unhideWhenUsed/>
    <w:qFormat/>
    <w:uiPriority w:val="0"/>
    <w:pPr>
      <w:keepNext/>
      <w:keepLines/>
      <w:ind w:firstLine="0" w:firstLineChars="0"/>
      <w:outlineLvl w:val="4"/>
    </w:pPr>
    <w:rPr>
      <w:rFonts w:eastAsia="黑体"/>
      <w:b/>
      <w:bCs/>
      <w:color w:val="000000"/>
      <w:szCs w:val="28"/>
    </w:rPr>
  </w:style>
  <w:style w:type="character" w:customStyle="1" w:styleId="55">
    <w:name w:val="标题 6 字符"/>
    <w:basedOn w:val="40"/>
    <w:semiHidden/>
    <w:qFormat/>
    <w:uiPriority w:val="9"/>
    <w:rPr>
      <w:rFonts w:asciiTheme="majorHAnsi" w:hAnsiTheme="majorHAnsi" w:eastAsiaTheme="majorEastAsia" w:cstheme="majorBidi"/>
      <w:b/>
      <w:bCs/>
      <w:kern w:val="0"/>
      <w:sz w:val="24"/>
      <w:szCs w:val="24"/>
    </w:rPr>
  </w:style>
  <w:style w:type="character" w:customStyle="1" w:styleId="56">
    <w:name w:val="标题 7 字符"/>
    <w:basedOn w:val="40"/>
    <w:semiHidden/>
    <w:qFormat/>
    <w:uiPriority w:val="9"/>
    <w:rPr>
      <w:rFonts w:ascii="Times New Roman" w:hAnsi="Times New Roman" w:eastAsia="宋体" w:cs="宋体"/>
      <w:b/>
      <w:bCs/>
      <w:kern w:val="0"/>
      <w:sz w:val="24"/>
      <w:szCs w:val="24"/>
    </w:rPr>
  </w:style>
  <w:style w:type="character" w:customStyle="1" w:styleId="57">
    <w:name w:val="标题 8 字符"/>
    <w:basedOn w:val="40"/>
    <w:semiHidden/>
    <w:qFormat/>
    <w:uiPriority w:val="9"/>
    <w:rPr>
      <w:rFonts w:asciiTheme="majorHAnsi" w:hAnsiTheme="majorHAnsi" w:eastAsiaTheme="majorEastAsia" w:cstheme="majorBidi"/>
      <w:kern w:val="0"/>
      <w:sz w:val="24"/>
      <w:szCs w:val="24"/>
    </w:rPr>
  </w:style>
  <w:style w:type="character" w:customStyle="1" w:styleId="58">
    <w:name w:val="标题 9 字符"/>
    <w:basedOn w:val="40"/>
    <w:semiHidden/>
    <w:qFormat/>
    <w:uiPriority w:val="9"/>
    <w:rPr>
      <w:rFonts w:asciiTheme="majorHAnsi" w:hAnsiTheme="majorHAnsi" w:eastAsiaTheme="majorEastAsia" w:cstheme="majorBidi"/>
      <w:kern w:val="0"/>
      <w:szCs w:val="21"/>
    </w:rPr>
  </w:style>
  <w:style w:type="character" w:customStyle="1" w:styleId="59">
    <w:name w:val="标题 5 字符"/>
    <w:basedOn w:val="40"/>
    <w:link w:val="7"/>
    <w:qFormat/>
    <w:uiPriority w:val="9"/>
    <w:rPr>
      <w:rFonts w:ascii="Times New Roman" w:hAnsi="Times New Roman" w:eastAsia="宋体" w:cs="宋体"/>
      <w:b/>
      <w:bCs/>
      <w:color w:val="000000"/>
      <w:sz w:val="24"/>
      <w:szCs w:val="28"/>
    </w:rPr>
  </w:style>
  <w:style w:type="character" w:customStyle="1" w:styleId="60">
    <w:name w:val="标题 6 字符1"/>
    <w:basedOn w:val="40"/>
    <w:link w:val="8"/>
    <w:qFormat/>
    <w:uiPriority w:val="0"/>
    <w:rPr>
      <w:rFonts w:ascii="Times New Roman" w:hAnsi="Times New Roman" w:eastAsia="宋体" w:cs="宋体"/>
      <w:b/>
      <w:bCs/>
      <w:kern w:val="0"/>
      <w:sz w:val="24"/>
      <w:szCs w:val="24"/>
    </w:rPr>
  </w:style>
  <w:style w:type="character" w:customStyle="1" w:styleId="61">
    <w:name w:val="标题 7 字符1"/>
    <w:basedOn w:val="40"/>
    <w:link w:val="9"/>
    <w:qFormat/>
    <w:uiPriority w:val="0"/>
    <w:rPr>
      <w:rFonts w:ascii="Times New Roman" w:hAnsi="Times New Roman" w:eastAsia="黑体" w:cs="宋体"/>
      <w:b/>
      <w:bCs/>
      <w:kern w:val="0"/>
      <w:sz w:val="24"/>
      <w:szCs w:val="24"/>
    </w:rPr>
  </w:style>
  <w:style w:type="character" w:customStyle="1" w:styleId="62">
    <w:name w:val="标题 8 字符1"/>
    <w:basedOn w:val="40"/>
    <w:link w:val="10"/>
    <w:qFormat/>
    <w:uiPriority w:val="0"/>
    <w:rPr>
      <w:rFonts w:ascii="Cambria" w:hAnsi="Cambria" w:eastAsia="黑体" w:cs="宋体"/>
      <w:b/>
      <w:kern w:val="0"/>
      <w:sz w:val="24"/>
      <w:szCs w:val="24"/>
    </w:rPr>
  </w:style>
  <w:style w:type="character" w:customStyle="1" w:styleId="63">
    <w:name w:val="标题 9 字符1"/>
    <w:basedOn w:val="40"/>
    <w:link w:val="11"/>
    <w:qFormat/>
    <w:uiPriority w:val="0"/>
    <w:rPr>
      <w:rFonts w:ascii="Cambria" w:hAnsi="Cambria" w:eastAsia="宋体" w:cs="宋体"/>
      <w:kern w:val="0"/>
      <w:sz w:val="24"/>
      <w:szCs w:val="21"/>
    </w:rPr>
  </w:style>
  <w:style w:type="paragraph" w:customStyle="1" w:styleId="64">
    <w:name w:val="题注1"/>
    <w:basedOn w:val="1"/>
    <w:unhideWhenUsed/>
    <w:qFormat/>
    <w:uiPriority w:val="35"/>
    <w:pPr>
      <w:jc w:val="center"/>
    </w:pPr>
    <w:rPr>
      <w:rFonts w:ascii="等线 Light" w:hAnsi="等线 Light" w:eastAsia="黑体" w:cs="Times New Roman"/>
      <w:b/>
      <w:szCs w:val="20"/>
    </w:rPr>
  </w:style>
  <w:style w:type="character" w:customStyle="1" w:styleId="65">
    <w:name w:val="文档结构图 字符"/>
    <w:basedOn w:val="40"/>
    <w:link w:val="14"/>
    <w:qFormat/>
    <w:uiPriority w:val="99"/>
    <w:rPr>
      <w:rFonts w:ascii="Times New Roman" w:hAnsi="Times New Roman" w:eastAsia="宋体" w:cs="宋体"/>
      <w:kern w:val="0"/>
      <w:sz w:val="18"/>
      <w:szCs w:val="18"/>
    </w:rPr>
  </w:style>
  <w:style w:type="character" w:customStyle="1" w:styleId="66">
    <w:name w:val="批注文字 字符"/>
    <w:basedOn w:val="40"/>
    <w:link w:val="15"/>
    <w:qFormat/>
    <w:uiPriority w:val="99"/>
    <w:rPr>
      <w:rFonts w:ascii="Times New Roman" w:hAnsi="Times New Roman" w:eastAsia="宋体" w:cs="宋体"/>
      <w:kern w:val="0"/>
      <w:sz w:val="28"/>
      <w:szCs w:val="24"/>
    </w:rPr>
  </w:style>
  <w:style w:type="character" w:customStyle="1" w:styleId="67">
    <w:name w:val="日期 字符"/>
    <w:basedOn w:val="40"/>
    <w:link w:val="21"/>
    <w:qFormat/>
    <w:uiPriority w:val="99"/>
    <w:rPr>
      <w:rFonts w:ascii="Times New Roman" w:hAnsi="Times New Roman" w:eastAsia="宋体" w:cs="宋体"/>
      <w:kern w:val="0"/>
      <w:sz w:val="28"/>
      <w:szCs w:val="24"/>
    </w:rPr>
  </w:style>
  <w:style w:type="character" w:customStyle="1" w:styleId="68">
    <w:name w:val="尾注文本 字符"/>
    <w:basedOn w:val="40"/>
    <w:link w:val="23"/>
    <w:qFormat/>
    <w:uiPriority w:val="99"/>
    <w:rPr>
      <w:rFonts w:ascii="Times New Roman" w:hAnsi="Times New Roman" w:eastAsia="宋体" w:cs="宋体"/>
      <w:kern w:val="0"/>
      <w:sz w:val="28"/>
      <w:szCs w:val="24"/>
    </w:rPr>
  </w:style>
  <w:style w:type="character" w:customStyle="1" w:styleId="69">
    <w:name w:val="批注框文本 字符"/>
    <w:basedOn w:val="40"/>
    <w:link w:val="24"/>
    <w:qFormat/>
    <w:uiPriority w:val="99"/>
    <w:rPr>
      <w:rFonts w:ascii="Times New Roman" w:hAnsi="Times New Roman" w:eastAsia="宋体" w:cs="宋体"/>
      <w:kern w:val="0"/>
      <w:sz w:val="18"/>
      <w:szCs w:val="18"/>
    </w:rPr>
  </w:style>
  <w:style w:type="character" w:customStyle="1" w:styleId="70">
    <w:name w:val="页眉 字符"/>
    <w:basedOn w:val="40"/>
    <w:link w:val="26"/>
    <w:qFormat/>
    <w:uiPriority w:val="99"/>
    <w:rPr>
      <w:rFonts w:ascii="Times New Roman" w:hAnsi="Times New Roman" w:eastAsia="宋体" w:cs="宋体"/>
      <w:kern w:val="0"/>
      <w:sz w:val="18"/>
      <w:szCs w:val="18"/>
    </w:rPr>
  </w:style>
  <w:style w:type="character" w:customStyle="1" w:styleId="71">
    <w:name w:val="副标题 字符"/>
    <w:basedOn w:val="40"/>
    <w:qFormat/>
    <w:uiPriority w:val="11"/>
    <w:rPr>
      <w:b/>
      <w:bCs/>
      <w:kern w:val="28"/>
      <w:sz w:val="32"/>
      <w:szCs w:val="32"/>
    </w:rPr>
  </w:style>
  <w:style w:type="character" w:customStyle="1" w:styleId="72">
    <w:name w:val="副标题 字符1"/>
    <w:basedOn w:val="40"/>
    <w:link w:val="29"/>
    <w:qFormat/>
    <w:uiPriority w:val="11"/>
    <w:rPr>
      <w:rFonts w:ascii="Cambria" w:hAnsi="Cambria" w:eastAsia="宋体" w:cs="宋体"/>
      <w:b/>
      <w:bCs/>
      <w:kern w:val="28"/>
      <w:sz w:val="32"/>
      <w:szCs w:val="32"/>
    </w:rPr>
  </w:style>
  <w:style w:type="character" w:customStyle="1" w:styleId="73">
    <w:name w:val="脚注文本 字符"/>
    <w:basedOn w:val="40"/>
    <w:link w:val="30"/>
    <w:qFormat/>
    <w:uiPriority w:val="0"/>
    <w:rPr>
      <w:rFonts w:ascii="Times New Roman" w:hAnsi="Times New Roman" w:eastAsia="宋体" w:cs="宋体"/>
      <w:kern w:val="0"/>
      <w:sz w:val="18"/>
      <w:szCs w:val="18"/>
    </w:rPr>
  </w:style>
  <w:style w:type="character" w:customStyle="1" w:styleId="74">
    <w:name w:val="批注主题 字符"/>
    <w:basedOn w:val="66"/>
    <w:link w:val="37"/>
    <w:qFormat/>
    <w:uiPriority w:val="99"/>
    <w:rPr>
      <w:rFonts w:ascii="Times New Roman" w:hAnsi="Times New Roman" w:eastAsia="宋体" w:cs="宋体"/>
      <w:b/>
      <w:bCs/>
      <w:kern w:val="0"/>
      <w:sz w:val="28"/>
      <w:szCs w:val="24"/>
    </w:rPr>
  </w:style>
  <w:style w:type="table" w:customStyle="1" w:styleId="75">
    <w:name w:val="网格型1"/>
    <w:basedOn w:val="38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6">
    <w:name w:val="图样式"/>
    <w:basedOn w:val="13"/>
    <w:qFormat/>
    <w:uiPriority w:val="0"/>
    <w:pPr>
      <w:framePr w:w="8307" w:h="4139" w:hRule="exact" w:wrap="around" w:vAnchor="text" w:hAnchor="text" w:y="1"/>
      <w:ind w:firstLine="0" w:firstLineChars="0"/>
      <w:jc w:val="center"/>
    </w:pPr>
    <w:rPr>
      <w:rFonts w:ascii="Times New Roman" w:hAnsi="Times New Roman" w:eastAsia="宋体"/>
      <w:sz w:val="21"/>
    </w:rPr>
  </w:style>
  <w:style w:type="paragraph" w:customStyle="1" w:styleId="77">
    <w:name w:val="表样式"/>
    <w:basedOn w:val="13"/>
    <w:qFormat/>
    <w:uiPriority w:val="0"/>
    <w:pPr>
      <w:spacing w:line="240" w:lineRule="auto"/>
      <w:ind w:firstLine="0" w:firstLineChars="0"/>
      <w:jc w:val="center"/>
    </w:pPr>
    <w:rPr>
      <w:rFonts w:ascii="Times New Roman" w:hAnsi="Times New Roman" w:eastAsia="宋体"/>
      <w:color w:val="000000"/>
      <w:sz w:val="21"/>
      <w:szCs w:val="21"/>
    </w:rPr>
  </w:style>
  <w:style w:type="paragraph" w:customStyle="1" w:styleId="78">
    <w:name w:val="正文副本"/>
    <w:basedOn w:val="1"/>
    <w:qFormat/>
    <w:uiPriority w:val="0"/>
    <w:rPr>
      <w:rFonts w:ascii="仿宋_GB2312"/>
      <w:szCs w:val="28"/>
    </w:rPr>
  </w:style>
  <w:style w:type="character" w:customStyle="1" w:styleId="79">
    <w:name w:val="页眉 Char"/>
    <w:basedOn w:val="40"/>
    <w:qFormat/>
    <w:uiPriority w:val="99"/>
    <w:rPr>
      <w:sz w:val="18"/>
      <w:szCs w:val="18"/>
    </w:rPr>
  </w:style>
  <w:style w:type="character" w:customStyle="1" w:styleId="80">
    <w:name w:val="页脚 Char"/>
    <w:basedOn w:val="40"/>
    <w:qFormat/>
    <w:uiPriority w:val="99"/>
    <w:rPr>
      <w:sz w:val="18"/>
      <w:szCs w:val="18"/>
    </w:rPr>
  </w:style>
  <w:style w:type="paragraph" w:customStyle="1" w:styleId="81">
    <w:name w:val="_Style 54"/>
    <w:basedOn w:val="1"/>
    <w:next w:val="1"/>
    <w:unhideWhenUsed/>
    <w:qFormat/>
    <w:uiPriority w:val="39"/>
    <w:pPr>
      <w:ind w:left="3360" w:leftChars="1600"/>
    </w:pPr>
    <w:rPr>
      <w:rFonts w:ascii="Calibri" w:hAnsi="Calibri"/>
      <w:szCs w:val="22"/>
    </w:rPr>
  </w:style>
  <w:style w:type="character" w:customStyle="1" w:styleId="82">
    <w:name w:val="批注框文本 Char"/>
    <w:basedOn w:val="40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3">
    <w:name w:val="纯文本 字符"/>
    <w:basedOn w:val="40"/>
    <w:semiHidden/>
    <w:qFormat/>
    <w:uiPriority w:val="99"/>
    <w:rPr>
      <w:rFonts w:ascii="等线" w:hAnsi="Courier New" w:cs="Courier New"/>
      <w:szCs w:val="24"/>
    </w:rPr>
  </w:style>
  <w:style w:type="paragraph" w:customStyle="1" w:styleId="84">
    <w:name w:val="样式5"/>
    <w:basedOn w:val="1"/>
    <w:qFormat/>
    <w:uiPriority w:val="0"/>
    <w:rPr>
      <w:b/>
    </w:rPr>
  </w:style>
  <w:style w:type="paragraph" w:styleId="85">
    <w:name w:val="List Paragraph"/>
    <w:basedOn w:val="1"/>
    <w:qFormat/>
    <w:uiPriority w:val="1"/>
    <w:pPr>
      <w:ind w:firstLine="420"/>
    </w:pPr>
  </w:style>
  <w:style w:type="character" w:customStyle="1" w:styleId="86">
    <w:name w:val="标题 5 Char"/>
    <w:basedOn w:val="40"/>
    <w:qFormat/>
    <w:uiPriority w:val="9"/>
    <w:rPr>
      <w:rFonts w:ascii="Times New Roman" w:hAnsi="Times New Roman" w:eastAsia="宋体" w:cs="Times New Roman"/>
      <w:b/>
      <w:bCs/>
      <w:sz w:val="28"/>
      <w:szCs w:val="28"/>
    </w:rPr>
  </w:style>
  <w:style w:type="paragraph" w:customStyle="1" w:styleId="87">
    <w:name w:val="表格字体"/>
    <w:basedOn w:val="1"/>
    <w:qFormat/>
    <w:uiPriority w:val="0"/>
    <w:rPr>
      <w:rFonts w:eastAsia="仿宋_GB2312"/>
    </w:rPr>
  </w:style>
  <w:style w:type="character" w:customStyle="1" w:styleId="88">
    <w:name w:val="脚注文本 Char"/>
    <w:basedOn w:val="40"/>
    <w:semiHidden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89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90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91">
    <w:name w:val="表内容"/>
    <w:basedOn w:val="1"/>
    <w:link w:val="92"/>
    <w:qFormat/>
    <w:uiPriority w:val="0"/>
    <w:pPr>
      <w:spacing w:line="240" w:lineRule="auto"/>
      <w:ind w:firstLine="0" w:firstLineChars="0"/>
      <w:jc w:val="center"/>
    </w:pPr>
    <w:rPr>
      <w:color w:val="000000" w:themeColor="text1"/>
      <w:sz w:val="21"/>
      <w14:textFill>
        <w14:solidFill>
          <w14:schemeClr w14:val="tx1"/>
        </w14:solidFill>
      </w14:textFill>
    </w:rPr>
  </w:style>
  <w:style w:type="character" w:customStyle="1" w:styleId="92">
    <w:name w:val="表内容 字符"/>
    <w:basedOn w:val="40"/>
    <w:link w:val="91"/>
    <w:qFormat/>
    <w:uiPriority w:val="0"/>
    <w:rPr>
      <w:rFonts w:ascii="Times New Roman" w:hAnsi="Times New Roman" w:eastAsia="宋体" w:cs="宋体"/>
      <w:color w:val="000000" w:themeColor="text1"/>
      <w:kern w:val="0"/>
      <w:szCs w:val="24"/>
      <w14:textFill>
        <w14:solidFill>
          <w14:schemeClr w14:val="tx1"/>
        </w14:solidFill>
      </w14:textFill>
    </w:rPr>
  </w:style>
  <w:style w:type="character" w:customStyle="1" w:styleId="93">
    <w:name w:val="未处理的提及1"/>
    <w:basedOn w:val="40"/>
    <w:semiHidden/>
    <w:unhideWhenUsed/>
    <w:qFormat/>
    <w:uiPriority w:val="99"/>
    <w:rPr>
      <w:color w:val="605E5C"/>
      <w:shd w:val="clear" w:color="auto" w:fill="E1DFDD"/>
    </w:rPr>
  </w:style>
  <w:style w:type="table" w:customStyle="1" w:styleId="94">
    <w:name w:val="网格型2"/>
    <w:basedOn w:val="38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5">
    <w:name w:val="未处理的提及2"/>
    <w:basedOn w:val="40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96">
    <w:name w:val="TOC 标题1"/>
    <w:basedOn w:val="2"/>
    <w:next w:val="1"/>
    <w:unhideWhenUsed/>
    <w:qFormat/>
    <w:uiPriority w:val="39"/>
    <w:pPr>
      <w:spacing w:after="0" w:line="259" w:lineRule="auto"/>
      <w:outlineLvl w:val="9"/>
    </w:pPr>
    <w:rPr>
      <w:rFonts w:ascii="等线 Light" w:hAnsi="等线 Light" w:eastAsia="等线 Light" w:cs="Times New Roman"/>
      <w:b w:val="0"/>
      <w:bCs w:val="0"/>
      <w:color w:val="2F5496"/>
      <w:kern w:val="0"/>
      <w:sz w:val="32"/>
      <w:szCs w:val="32"/>
    </w:rPr>
  </w:style>
  <w:style w:type="paragraph" w:customStyle="1" w:styleId="97">
    <w:name w:val="目录 11"/>
    <w:basedOn w:val="1"/>
    <w:next w:val="1"/>
    <w:unhideWhenUsed/>
    <w:qFormat/>
    <w:uiPriority w:val="39"/>
    <w:pPr>
      <w:jc w:val="left"/>
    </w:pPr>
    <w:rPr>
      <w:rFonts w:ascii="等线" w:eastAsia="等线"/>
      <w:b/>
      <w:bCs/>
      <w:caps/>
      <w:sz w:val="20"/>
      <w:szCs w:val="20"/>
    </w:rPr>
  </w:style>
  <w:style w:type="paragraph" w:customStyle="1" w:styleId="98">
    <w:name w:val="目录 51"/>
    <w:basedOn w:val="1"/>
    <w:next w:val="1"/>
    <w:unhideWhenUsed/>
    <w:qFormat/>
    <w:uiPriority w:val="39"/>
    <w:pPr>
      <w:ind w:left="1120"/>
      <w:jc w:val="left"/>
    </w:pPr>
    <w:rPr>
      <w:rFonts w:ascii="等线" w:eastAsia="等线"/>
      <w:sz w:val="18"/>
      <w:szCs w:val="18"/>
    </w:rPr>
  </w:style>
  <w:style w:type="paragraph" w:customStyle="1" w:styleId="99">
    <w:name w:val="目录 61"/>
    <w:basedOn w:val="1"/>
    <w:next w:val="1"/>
    <w:unhideWhenUsed/>
    <w:qFormat/>
    <w:uiPriority w:val="39"/>
    <w:pPr>
      <w:ind w:left="1400"/>
      <w:jc w:val="left"/>
    </w:pPr>
    <w:rPr>
      <w:rFonts w:ascii="等线" w:eastAsia="等线"/>
      <w:sz w:val="18"/>
      <w:szCs w:val="18"/>
    </w:rPr>
  </w:style>
  <w:style w:type="paragraph" w:customStyle="1" w:styleId="100">
    <w:name w:val="目录 71"/>
    <w:basedOn w:val="1"/>
    <w:next w:val="1"/>
    <w:unhideWhenUsed/>
    <w:qFormat/>
    <w:uiPriority w:val="39"/>
    <w:pPr>
      <w:ind w:left="1680"/>
      <w:jc w:val="left"/>
    </w:pPr>
    <w:rPr>
      <w:rFonts w:ascii="等线" w:eastAsia="等线"/>
      <w:sz w:val="18"/>
      <w:szCs w:val="18"/>
    </w:rPr>
  </w:style>
  <w:style w:type="paragraph" w:customStyle="1" w:styleId="101">
    <w:name w:val="目录 81"/>
    <w:basedOn w:val="1"/>
    <w:next w:val="1"/>
    <w:unhideWhenUsed/>
    <w:qFormat/>
    <w:uiPriority w:val="39"/>
    <w:pPr>
      <w:ind w:left="1960"/>
      <w:jc w:val="left"/>
    </w:pPr>
    <w:rPr>
      <w:rFonts w:ascii="等线" w:eastAsia="等线"/>
      <w:sz w:val="18"/>
      <w:szCs w:val="18"/>
    </w:rPr>
  </w:style>
  <w:style w:type="paragraph" w:customStyle="1" w:styleId="102">
    <w:name w:val="目录 91"/>
    <w:basedOn w:val="1"/>
    <w:next w:val="1"/>
    <w:unhideWhenUsed/>
    <w:qFormat/>
    <w:uiPriority w:val="39"/>
    <w:pPr>
      <w:ind w:left="2240"/>
      <w:jc w:val="left"/>
    </w:pPr>
    <w:rPr>
      <w:rFonts w:ascii="等线" w:eastAsia="等线"/>
      <w:sz w:val="18"/>
      <w:szCs w:val="18"/>
    </w:rPr>
  </w:style>
  <w:style w:type="paragraph" w:customStyle="1" w:styleId="103">
    <w:name w:val="Revision"/>
    <w:hidden/>
    <w:qFormat/>
    <w:uiPriority w:val="99"/>
    <w:rPr>
      <w:rFonts w:ascii="Times New Roman" w:hAnsi="Times New Roman" w:eastAsia="宋体" w:cs="Times New Roman"/>
      <w:kern w:val="2"/>
      <w:sz w:val="28"/>
      <w:szCs w:val="24"/>
      <w:lang w:val="en-US" w:eastAsia="zh-CN" w:bidi="ar-SA"/>
    </w:rPr>
  </w:style>
  <w:style w:type="table" w:customStyle="1" w:styleId="104">
    <w:name w:val="网格型3"/>
    <w:basedOn w:val="38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5">
    <w:name w:val="正文1 字符"/>
    <w:link w:val="106"/>
    <w:qFormat/>
    <w:locked/>
    <w:uiPriority w:val="0"/>
    <w:rPr>
      <w:b/>
      <w:sz w:val="24"/>
      <w:szCs w:val="24"/>
    </w:rPr>
  </w:style>
  <w:style w:type="paragraph" w:customStyle="1" w:styleId="106">
    <w:name w:val="正文1"/>
    <w:basedOn w:val="1"/>
    <w:link w:val="105"/>
    <w:qFormat/>
    <w:uiPriority w:val="0"/>
    <w:pPr>
      <w:widowControl w:val="0"/>
      <w:spacing w:after="240"/>
      <w:ind w:firstLine="0" w:firstLineChars="0"/>
      <w:jc w:val="center"/>
    </w:pPr>
    <w:rPr>
      <w:rFonts w:asciiTheme="minorHAnsi" w:hAnsiTheme="minorHAnsi" w:eastAsiaTheme="minorEastAsia" w:cstheme="minorBidi"/>
      <w:b/>
      <w:kern w:val="2"/>
    </w:rPr>
  </w:style>
  <w:style w:type="table" w:customStyle="1" w:styleId="107">
    <w:name w:val="网格型4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08">
    <w:name w:val="网格型11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09">
    <w:name w:val="网格型21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10">
    <w:name w:val="修订2"/>
    <w:hidden/>
    <w:semiHidden/>
    <w:qFormat/>
    <w:uiPriority w:val="99"/>
    <w:rPr>
      <w:rFonts w:ascii="Times New Roman" w:hAnsi="Times New Roman" w:eastAsia="宋体" w:cs="Times New Roman"/>
      <w:kern w:val="2"/>
      <w:sz w:val="28"/>
      <w:szCs w:val="24"/>
      <w:lang w:val="en-US" w:eastAsia="zh-CN" w:bidi="ar-SA"/>
    </w:rPr>
  </w:style>
  <w:style w:type="table" w:customStyle="1" w:styleId="111">
    <w:name w:val="网格型5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2">
    <w:name w:val="网格型12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3">
    <w:name w:val="网格型22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4">
    <w:name w:val="网格型6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5">
    <w:name w:val="网格型13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6">
    <w:name w:val="网格型23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7">
    <w:name w:val="网格型31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8">
    <w:name w:val="访问过的超链接1"/>
    <w:basedOn w:val="40"/>
    <w:semiHidden/>
    <w:unhideWhenUsed/>
    <w:qFormat/>
    <w:uiPriority w:val="99"/>
    <w:rPr>
      <w:color w:val="954F72"/>
      <w:u w:val="single"/>
    </w:rPr>
  </w:style>
  <w:style w:type="table" w:customStyle="1" w:styleId="119">
    <w:name w:val="网格型7"/>
    <w:basedOn w:val="38"/>
    <w:qFormat/>
    <w:uiPriority w:val="39"/>
    <w:rPr>
      <w:rFonts w:ascii="等线" w:hAnsi="等线" w:eastAsia="等线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20">
    <w:name w:val="网格型8"/>
    <w:basedOn w:val="38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21">
    <w:name w:val="网格型14"/>
    <w:basedOn w:val="38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22">
    <w:name w:val="网格型24"/>
    <w:basedOn w:val="38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23">
    <w:name w:val="网格型211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24">
    <w:name w:val="网格型221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25">
    <w:name w:val="网格型32"/>
    <w:basedOn w:val="38"/>
    <w:qFormat/>
    <w:uiPriority w:val="39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26">
    <w:name w:val="xl71"/>
    <w:basedOn w:val="1"/>
    <w:qFormat/>
    <w:uiPriority w:val="0"/>
    <w:pPr>
      <w:pBdr>
        <w:top w:val="single" w:color="auto" w:sz="8" w:space="0"/>
        <w:bottom w:val="single" w:color="auto" w:sz="8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/>
      <w:color w:val="000000"/>
      <w:sz w:val="21"/>
      <w:szCs w:val="21"/>
    </w:rPr>
  </w:style>
  <w:style w:type="paragraph" w:customStyle="1" w:styleId="127">
    <w:name w:val="xl72"/>
    <w:basedOn w:val="1"/>
    <w:qFormat/>
    <w:uiPriority w:val="0"/>
    <w:pPr>
      <w:pBdr>
        <w:top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/>
      <w:color w:val="000000"/>
      <w:sz w:val="21"/>
      <w:szCs w:val="21"/>
    </w:rPr>
  </w:style>
  <w:style w:type="paragraph" w:customStyle="1" w:styleId="128">
    <w:name w:val="xl74"/>
    <w:basedOn w:val="1"/>
    <w:qFormat/>
    <w:uiPriority w:val="0"/>
    <w:pPr>
      <w:pBdr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/>
      <w:color w:val="000000"/>
      <w:sz w:val="21"/>
      <w:szCs w:val="21"/>
    </w:rPr>
  </w:style>
  <w:style w:type="paragraph" w:customStyle="1" w:styleId="129">
    <w:name w:val="xl75"/>
    <w:basedOn w:val="1"/>
    <w:qFormat/>
    <w:uiPriority w:val="0"/>
    <w:pPr>
      <w:pBdr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黑体" w:hAnsi="黑体" w:eastAsia="黑体"/>
      <w:color w:val="000000"/>
      <w:sz w:val="18"/>
      <w:szCs w:val="18"/>
    </w:rPr>
  </w:style>
  <w:style w:type="paragraph" w:customStyle="1" w:styleId="130">
    <w:name w:val="xl76"/>
    <w:basedOn w:val="1"/>
    <w:qFormat/>
    <w:uiPriority w:val="0"/>
    <w:pPr>
      <w:pBdr>
        <w:top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/>
      <w:sz w:val="18"/>
      <w:szCs w:val="18"/>
    </w:rPr>
  </w:style>
  <w:style w:type="paragraph" w:customStyle="1" w:styleId="131">
    <w:name w:val="a题注样式"/>
    <w:basedOn w:val="13"/>
    <w:qFormat/>
    <w:uiPriority w:val="0"/>
    <w:pPr>
      <w:spacing w:before="240" w:after="240"/>
      <w:ind w:firstLine="0" w:firstLineChars="0"/>
      <w:jc w:val="center"/>
    </w:pPr>
    <w:rPr>
      <w:rFonts w:ascii="Times New Roman" w:hAnsi="Times New Roman"/>
      <w:b/>
      <w:sz w:val="24"/>
    </w:rPr>
  </w:style>
  <w:style w:type="paragraph" w:customStyle="1" w:styleId="132">
    <w:name w:val="标题1"/>
    <w:basedOn w:val="1"/>
    <w:next w:val="1"/>
    <w:qFormat/>
    <w:uiPriority w:val="0"/>
    <w:pPr>
      <w:spacing w:before="240" w:after="60"/>
      <w:jc w:val="center"/>
      <w:outlineLvl w:val="0"/>
    </w:pPr>
    <w:rPr>
      <w:rFonts w:ascii="等线 Light" w:hAnsi="等线 Light" w:eastAsia="等线 Light" w:cs="Times New Roman"/>
      <w:b/>
      <w:bCs/>
      <w:sz w:val="32"/>
      <w:szCs w:val="32"/>
    </w:rPr>
  </w:style>
  <w:style w:type="character" w:customStyle="1" w:styleId="133">
    <w:name w:val="标题 字符"/>
    <w:basedOn w:val="40"/>
    <w:link w:val="36"/>
    <w:qFormat/>
    <w:uiPriority w:val="0"/>
    <w:rPr>
      <w:rFonts w:ascii="等线 Light" w:hAnsi="等线 Light" w:eastAsia="等线 Light" w:cs="Times New Roman"/>
      <w:b/>
      <w:bCs/>
      <w:sz w:val="32"/>
      <w:szCs w:val="32"/>
    </w:rPr>
  </w:style>
  <w:style w:type="character" w:customStyle="1" w:styleId="134">
    <w:name w:val="未处理的提及21"/>
    <w:basedOn w:val="4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35">
    <w:name w:val="批注框文本 Char1"/>
    <w:basedOn w:val="40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36">
    <w:name w:val="未处理的提及211"/>
    <w:basedOn w:val="4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37">
    <w:name w:val="标题6 字符"/>
    <w:basedOn w:val="60"/>
    <w:link w:val="138"/>
    <w:semiHidden/>
    <w:qFormat/>
    <w:locked/>
    <w:uiPriority w:val="0"/>
    <w:rPr>
      <w:rFonts w:ascii="Times New Roman" w:hAnsi="Times New Roman" w:eastAsia="黑体" w:cs="宋体"/>
      <w:kern w:val="0"/>
      <w:sz w:val="28"/>
      <w:szCs w:val="24"/>
    </w:rPr>
  </w:style>
  <w:style w:type="paragraph" w:customStyle="1" w:styleId="138">
    <w:name w:val="标题6"/>
    <w:basedOn w:val="8"/>
    <w:link w:val="137"/>
    <w:semiHidden/>
    <w:qFormat/>
    <w:uiPriority w:val="0"/>
    <w:pPr>
      <w:numPr>
        <w:ilvl w:val="0"/>
        <w:numId w:val="0"/>
      </w:numPr>
      <w:tabs>
        <w:tab w:val="left" w:pos="360"/>
      </w:tabs>
    </w:pPr>
  </w:style>
  <w:style w:type="table" w:customStyle="1" w:styleId="139">
    <w:name w:val="网格型9"/>
    <w:basedOn w:val="38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40">
    <w:name w:val="网格型15"/>
    <w:basedOn w:val="38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41">
    <w:name w:val="网格型25"/>
    <w:basedOn w:val="38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42">
    <w:name w:val="网格型33"/>
    <w:basedOn w:val="38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43">
    <w:name w:val="网格型41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44">
    <w:name w:val="网格型111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45">
    <w:name w:val="网格型212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46">
    <w:name w:val="网格型51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47">
    <w:name w:val="网格型121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48">
    <w:name w:val="网格型222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49">
    <w:name w:val="网格型61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50">
    <w:name w:val="网格型131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51">
    <w:name w:val="网格型231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52">
    <w:name w:val="网格型311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53">
    <w:name w:val="网格型71"/>
    <w:basedOn w:val="38"/>
    <w:qFormat/>
    <w:uiPriority w:val="39"/>
    <w:rPr>
      <w:rFonts w:ascii="等线" w:hAnsi="等线" w:eastAsia="等线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54">
    <w:name w:val="网格型81"/>
    <w:basedOn w:val="38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55">
    <w:name w:val="网格型141"/>
    <w:basedOn w:val="38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56">
    <w:name w:val="网格型241"/>
    <w:basedOn w:val="38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57">
    <w:name w:val="网格型2111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58">
    <w:name w:val="网格型2211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59">
    <w:name w:val="网格型321"/>
    <w:basedOn w:val="38"/>
    <w:qFormat/>
    <w:uiPriority w:val="39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60">
    <w:name w:val="网格型10"/>
    <w:basedOn w:val="38"/>
    <w:qFormat/>
    <w:uiPriority w:val="0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61">
    <w:name w:val="网格型16"/>
    <w:basedOn w:val="38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62">
    <w:name w:val="网格型26"/>
    <w:basedOn w:val="38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63">
    <w:name w:val="网格型34"/>
    <w:basedOn w:val="38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64">
    <w:name w:val="网格型42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65">
    <w:name w:val="网格型112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66">
    <w:name w:val="网格型213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67">
    <w:name w:val="网格型52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68">
    <w:name w:val="网格型122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69">
    <w:name w:val="网格型223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70">
    <w:name w:val="网格型62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71">
    <w:name w:val="网格型132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72">
    <w:name w:val="网格型232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73">
    <w:name w:val="网格型312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74">
    <w:name w:val="网格型72"/>
    <w:basedOn w:val="38"/>
    <w:qFormat/>
    <w:uiPriority w:val="39"/>
    <w:rPr>
      <w:rFonts w:ascii="等线" w:hAnsi="等线" w:eastAsia="等线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75">
    <w:name w:val="网格型82"/>
    <w:basedOn w:val="38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76">
    <w:name w:val="网格型142"/>
    <w:basedOn w:val="38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77">
    <w:name w:val="网格型242"/>
    <w:basedOn w:val="38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78">
    <w:name w:val="网格型2112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79">
    <w:name w:val="网格型2212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80">
    <w:name w:val="网格型322"/>
    <w:basedOn w:val="38"/>
    <w:qFormat/>
    <w:uiPriority w:val="39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81">
    <w:name w:val="tupian"/>
    <w:basedOn w:val="1"/>
    <w:qFormat/>
    <w:uiPriority w:val="0"/>
    <w:pPr>
      <w:ind w:firstLine="0" w:firstLineChars="0"/>
      <w:jc w:val="center"/>
    </w:pPr>
  </w:style>
  <w:style w:type="paragraph" w:customStyle="1" w:styleId="182">
    <w:name w:val="Table caption|1"/>
    <w:basedOn w:val="1"/>
    <w:qFormat/>
    <w:uiPriority w:val="99"/>
    <w:pPr>
      <w:widowControl w:val="0"/>
      <w:spacing w:line="288" w:lineRule="exact"/>
      <w:ind w:left="580" w:hanging="200" w:firstLineChars="0"/>
    </w:pPr>
    <w:rPr>
      <w:rFonts w:ascii="MingLiU" w:hAnsi="MingLiU" w:eastAsia="MingLiU" w:cs="MingLiU"/>
      <w:kern w:val="2"/>
      <w:sz w:val="19"/>
      <w:szCs w:val="19"/>
      <w:lang w:val="zh-TW" w:eastAsia="zh-TW" w:bidi="zh-TW"/>
    </w:rPr>
  </w:style>
  <w:style w:type="character" w:customStyle="1" w:styleId="183">
    <w:name w:val="未处理的提及3"/>
    <w:basedOn w:val="40"/>
    <w:semiHidden/>
    <w:qFormat/>
    <w:uiPriority w:val="99"/>
    <w:rPr>
      <w:color w:val="605E5C"/>
      <w:shd w:val="clear" w:color="auto" w:fill="E1DFDD"/>
    </w:rPr>
  </w:style>
  <w:style w:type="character" w:customStyle="1" w:styleId="184">
    <w:name w:val="未处理的提及22"/>
    <w:basedOn w:val="4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85">
    <w:name w:val="未处理的提及4"/>
    <w:basedOn w:val="40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86">
    <w:name w:val="xl77"/>
    <w:basedOn w:val="1"/>
    <w:qFormat/>
    <w:uiPriority w:val="0"/>
    <w:pPr>
      <w:pBdr>
        <w:bottom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/>
      <w:sz w:val="18"/>
      <w:szCs w:val="18"/>
    </w:rPr>
  </w:style>
  <w:style w:type="table" w:customStyle="1" w:styleId="187">
    <w:name w:val="网格型17"/>
    <w:basedOn w:val="38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88">
    <w:name w:val="网格型18"/>
    <w:basedOn w:val="38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89">
    <w:name w:val="网格型27"/>
    <w:basedOn w:val="38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90">
    <w:name w:val="TOC 41"/>
    <w:basedOn w:val="1"/>
    <w:next w:val="1"/>
    <w:unhideWhenUsed/>
    <w:qFormat/>
    <w:uiPriority w:val="39"/>
    <w:pPr>
      <w:spacing w:line="240" w:lineRule="auto"/>
      <w:ind w:left="1260" w:leftChars="600"/>
    </w:pPr>
    <w:rPr>
      <w:rFonts w:ascii="等线" w:hAnsi="等线" w:eastAsia="等线" w:cs="Arial"/>
      <w:sz w:val="21"/>
      <w:szCs w:val="22"/>
    </w:rPr>
  </w:style>
  <w:style w:type="paragraph" w:customStyle="1" w:styleId="191">
    <w:name w:val="TOC 51"/>
    <w:basedOn w:val="1"/>
    <w:next w:val="1"/>
    <w:unhideWhenUsed/>
    <w:qFormat/>
    <w:uiPriority w:val="39"/>
    <w:pPr>
      <w:spacing w:line="240" w:lineRule="auto"/>
      <w:ind w:left="1680" w:leftChars="800"/>
    </w:pPr>
    <w:rPr>
      <w:rFonts w:ascii="等线" w:hAnsi="等线" w:eastAsia="等线" w:cs="Arial"/>
      <w:sz w:val="21"/>
      <w:szCs w:val="22"/>
    </w:rPr>
  </w:style>
  <w:style w:type="paragraph" w:customStyle="1" w:styleId="192">
    <w:name w:val="TOC 61"/>
    <w:basedOn w:val="1"/>
    <w:next w:val="1"/>
    <w:unhideWhenUsed/>
    <w:qFormat/>
    <w:uiPriority w:val="39"/>
    <w:pPr>
      <w:spacing w:line="240" w:lineRule="auto"/>
      <w:ind w:left="2100" w:leftChars="1000"/>
    </w:pPr>
    <w:rPr>
      <w:rFonts w:ascii="等线" w:hAnsi="等线" w:eastAsia="等线" w:cs="Arial"/>
      <w:sz w:val="21"/>
      <w:szCs w:val="22"/>
    </w:rPr>
  </w:style>
  <w:style w:type="paragraph" w:customStyle="1" w:styleId="193">
    <w:name w:val="TOC 71"/>
    <w:basedOn w:val="1"/>
    <w:next w:val="1"/>
    <w:unhideWhenUsed/>
    <w:qFormat/>
    <w:uiPriority w:val="39"/>
    <w:pPr>
      <w:spacing w:line="240" w:lineRule="auto"/>
      <w:ind w:firstLine="0" w:firstLineChars="0"/>
    </w:pPr>
    <w:rPr>
      <w:rFonts w:ascii="等线" w:hAnsi="等线" w:eastAsia="等线" w:cs="Arial"/>
      <w:sz w:val="21"/>
      <w:szCs w:val="22"/>
    </w:rPr>
  </w:style>
  <w:style w:type="paragraph" w:customStyle="1" w:styleId="194">
    <w:name w:val="TOC 81"/>
    <w:basedOn w:val="1"/>
    <w:next w:val="1"/>
    <w:unhideWhenUsed/>
    <w:qFormat/>
    <w:uiPriority w:val="39"/>
    <w:pPr>
      <w:spacing w:line="240" w:lineRule="auto"/>
      <w:ind w:left="2940" w:leftChars="1400"/>
    </w:pPr>
    <w:rPr>
      <w:rFonts w:ascii="等线" w:hAnsi="等线" w:eastAsia="等线" w:cs="Arial"/>
      <w:sz w:val="21"/>
      <w:szCs w:val="22"/>
    </w:rPr>
  </w:style>
  <w:style w:type="paragraph" w:customStyle="1" w:styleId="195">
    <w:name w:val="TOC 91"/>
    <w:basedOn w:val="1"/>
    <w:next w:val="1"/>
    <w:unhideWhenUsed/>
    <w:qFormat/>
    <w:uiPriority w:val="39"/>
    <w:pPr>
      <w:spacing w:line="240" w:lineRule="auto"/>
      <w:ind w:left="3360" w:leftChars="1600"/>
    </w:pPr>
    <w:rPr>
      <w:rFonts w:ascii="等线" w:hAnsi="等线" w:eastAsia="等线" w:cs="Arial"/>
      <w:sz w:val="21"/>
      <w:szCs w:val="22"/>
    </w:rPr>
  </w:style>
  <w:style w:type="table" w:customStyle="1" w:styleId="196">
    <w:name w:val="网格型35"/>
    <w:basedOn w:val="38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97">
    <w:name w:val="网格型43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98">
    <w:name w:val="网格型113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99">
    <w:name w:val="网格型214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00">
    <w:name w:val="网格型53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01">
    <w:name w:val="网格型123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02">
    <w:name w:val="网格型224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03">
    <w:name w:val="网格型63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04">
    <w:name w:val="网格型133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05">
    <w:name w:val="网格型233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06">
    <w:name w:val="网格型313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07">
    <w:name w:val="网格型73"/>
    <w:basedOn w:val="38"/>
    <w:qFormat/>
    <w:uiPriority w:val="39"/>
    <w:rPr>
      <w:rFonts w:ascii="等线" w:hAnsi="等线" w:eastAsia="等线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08">
    <w:name w:val="网格型83"/>
    <w:basedOn w:val="38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09">
    <w:name w:val="网格型143"/>
    <w:basedOn w:val="38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10">
    <w:name w:val="网格型243"/>
    <w:basedOn w:val="38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11">
    <w:name w:val="网格型2113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12">
    <w:name w:val="网格型2213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13">
    <w:name w:val="网格型323"/>
    <w:basedOn w:val="38"/>
    <w:qFormat/>
    <w:uiPriority w:val="39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14">
    <w:name w:val="网格型91"/>
    <w:basedOn w:val="38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15">
    <w:name w:val="网格型151"/>
    <w:basedOn w:val="38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16">
    <w:name w:val="网格型251"/>
    <w:basedOn w:val="38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17">
    <w:name w:val="网格型331"/>
    <w:basedOn w:val="38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18">
    <w:name w:val="网格型411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19">
    <w:name w:val="网格型1111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20">
    <w:name w:val="网格型2121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21">
    <w:name w:val="网格型511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22">
    <w:name w:val="网格型1211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23">
    <w:name w:val="网格型2221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24">
    <w:name w:val="网格型611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25">
    <w:name w:val="网格型1311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26">
    <w:name w:val="网格型2311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27">
    <w:name w:val="网格型3111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28">
    <w:name w:val="网格型711"/>
    <w:basedOn w:val="38"/>
    <w:qFormat/>
    <w:uiPriority w:val="39"/>
    <w:rPr>
      <w:rFonts w:ascii="等线" w:hAnsi="等线" w:eastAsia="等线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29">
    <w:name w:val="网格型811"/>
    <w:basedOn w:val="38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30">
    <w:name w:val="网格型1411"/>
    <w:basedOn w:val="38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31">
    <w:name w:val="网格型2411"/>
    <w:basedOn w:val="38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32">
    <w:name w:val="网格型21111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33">
    <w:name w:val="网格型22111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34">
    <w:name w:val="网格型3211"/>
    <w:basedOn w:val="38"/>
    <w:qFormat/>
    <w:uiPriority w:val="39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35">
    <w:name w:val="网格型101"/>
    <w:basedOn w:val="38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36">
    <w:name w:val="网格型161"/>
    <w:basedOn w:val="38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37">
    <w:name w:val="网格型261"/>
    <w:basedOn w:val="38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38">
    <w:name w:val="网格型341"/>
    <w:basedOn w:val="38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39">
    <w:name w:val="网格型421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40">
    <w:name w:val="网格型1121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41">
    <w:name w:val="网格型2131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42">
    <w:name w:val="网格型521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43">
    <w:name w:val="网格型1221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44">
    <w:name w:val="网格型2231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45">
    <w:name w:val="网格型621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46">
    <w:name w:val="网格型1321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47">
    <w:name w:val="网格型2321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48">
    <w:name w:val="网格型3121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49">
    <w:name w:val="网格型721"/>
    <w:basedOn w:val="38"/>
    <w:qFormat/>
    <w:uiPriority w:val="39"/>
    <w:rPr>
      <w:rFonts w:ascii="等线" w:hAnsi="等线" w:eastAsia="等线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50">
    <w:name w:val="网格型821"/>
    <w:basedOn w:val="38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51">
    <w:name w:val="网格型1421"/>
    <w:basedOn w:val="38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52">
    <w:name w:val="网格型2421"/>
    <w:basedOn w:val="38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53">
    <w:name w:val="网格型21121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54">
    <w:name w:val="网格型22121"/>
    <w:basedOn w:val="38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55">
    <w:name w:val="网格型3221"/>
    <w:basedOn w:val="38"/>
    <w:qFormat/>
    <w:uiPriority w:val="39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56">
    <w:name w:val="标题 2 字符1"/>
    <w:basedOn w:val="40"/>
    <w:semiHidden/>
    <w:qFormat/>
    <w:uiPriority w:val="9"/>
    <w:rPr>
      <w:rFonts w:ascii="等线 Light" w:hAnsi="等线 Light" w:eastAsia="等线 Light" w:cs="Times New Roman"/>
      <w:b/>
      <w:bCs/>
      <w:sz w:val="32"/>
      <w:szCs w:val="32"/>
    </w:rPr>
  </w:style>
  <w:style w:type="character" w:customStyle="1" w:styleId="257">
    <w:name w:val="标题 5 字符1"/>
    <w:basedOn w:val="40"/>
    <w:semiHidden/>
    <w:qFormat/>
    <w:uiPriority w:val="9"/>
    <w:rPr>
      <w:b/>
      <w:bCs/>
      <w:sz w:val="28"/>
      <w:szCs w:val="28"/>
    </w:rPr>
  </w:style>
  <w:style w:type="character" w:customStyle="1" w:styleId="258">
    <w:name w:val="标题 字符1"/>
    <w:basedOn w:val="40"/>
    <w:qFormat/>
    <w:uiPriority w:val="10"/>
    <w:rPr>
      <w:rFonts w:ascii="等线 Light" w:hAnsi="等线 Light" w:eastAsia="等线 Light" w:cs="Times New Roman"/>
      <w:b/>
      <w:bCs/>
      <w:sz w:val="32"/>
      <w:szCs w:val="32"/>
    </w:rPr>
  </w:style>
  <w:style w:type="character" w:customStyle="1" w:styleId="259">
    <w:name w:val="未处理的提及23"/>
    <w:basedOn w:val="40"/>
    <w:semiHidden/>
    <w:qFormat/>
    <w:uiPriority w:val="99"/>
    <w:rPr>
      <w:color w:val="605E5C"/>
      <w:shd w:val="clear" w:color="auto" w:fill="E1DFDD"/>
    </w:rPr>
  </w:style>
  <w:style w:type="paragraph" w:customStyle="1" w:styleId="260">
    <w:name w:val="msonormal"/>
    <w:basedOn w:val="1"/>
    <w:qFormat/>
    <w:uiPriority w:val="0"/>
    <w:pPr>
      <w:spacing w:before="100" w:beforeAutospacing="1" w:after="100" w:afterAutospacing="1" w:line="240" w:lineRule="auto"/>
      <w:ind w:firstLine="0" w:firstLineChars="0"/>
    </w:pPr>
    <w:rPr>
      <w:rFonts w:ascii="宋体" w:hAnsi="宋体"/>
    </w:rPr>
  </w:style>
  <w:style w:type="paragraph" w:customStyle="1" w:styleId="261">
    <w:name w:val="font5"/>
    <w:basedOn w:val="1"/>
    <w:qFormat/>
    <w:uiPriority w:val="0"/>
    <w:pPr>
      <w:spacing w:before="100" w:beforeAutospacing="1" w:after="100" w:afterAutospacing="1" w:line="240" w:lineRule="auto"/>
      <w:ind w:firstLine="0" w:firstLineChars="0"/>
    </w:pPr>
    <w:rPr>
      <w:rFonts w:ascii="宋体" w:hAnsi="宋体"/>
      <w:sz w:val="18"/>
      <w:szCs w:val="18"/>
    </w:rPr>
  </w:style>
  <w:style w:type="paragraph" w:customStyle="1" w:styleId="262">
    <w:name w:val="xl65"/>
    <w:basedOn w:val="1"/>
    <w:qFormat/>
    <w:uiPriority w:val="0"/>
    <w:pPr>
      <w:pBdr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黑体" w:hAnsi="黑体" w:eastAsia="黑体"/>
      <w:color w:val="000000"/>
      <w:sz w:val="21"/>
      <w:szCs w:val="21"/>
    </w:rPr>
  </w:style>
  <w:style w:type="paragraph" w:customStyle="1" w:styleId="263">
    <w:name w:val="xl66"/>
    <w:basedOn w:val="1"/>
    <w:qFormat/>
    <w:uiPriority w:val="0"/>
    <w:pPr>
      <w:pBdr>
        <w:bottom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cs="Times New Roman"/>
      <w:color w:val="000000"/>
      <w:sz w:val="21"/>
      <w:szCs w:val="21"/>
    </w:rPr>
  </w:style>
  <w:style w:type="paragraph" w:customStyle="1" w:styleId="264">
    <w:name w:val="xl67"/>
    <w:basedOn w:val="1"/>
    <w:qFormat/>
    <w:uiPriority w:val="0"/>
    <w:pPr>
      <w:pBdr>
        <w:bottom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/>
      <w:color w:val="000000"/>
      <w:sz w:val="21"/>
      <w:szCs w:val="21"/>
    </w:rPr>
  </w:style>
  <w:style w:type="paragraph" w:customStyle="1" w:styleId="265">
    <w:name w:val="xl68"/>
    <w:basedOn w:val="1"/>
    <w:qFormat/>
    <w:uiPriority w:val="0"/>
    <w:pPr>
      <w:pBdr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/>
      <w:sz w:val="21"/>
      <w:szCs w:val="21"/>
    </w:rPr>
  </w:style>
  <w:style w:type="paragraph" w:customStyle="1" w:styleId="266">
    <w:name w:val="xl69"/>
    <w:basedOn w:val="1"/>
    <w:qFormat/>
    <w:uiPriority w:val="0"/>
    <w:pPr>
      <w:pBdr>
        <w:bottom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cs="Times New Roman"/>
      <w:color w:val="000000"/>
      <w:sz w:val="21"/>
      <w:szCs w:val="21"/>
    </w:rPr>
  </w:style>
  <w:style w:type="paragraph" w:customStyle="1" w:styleId="267">
    <w:name w:val="xl70"/>
    <w:basedOn w:val="1"/>
    <w:qFormat/>
    <w:uiPriority w:val="0"/>
    <w:pPr>
      <w:pBdr>
        <w:top w:val="single" w:color="auto" w:sz="8" w:space="0"/>
        <w:left w:val="single" w:color="auto" w:sz="8" w:space="0"/>
        <w:bottom w:val="single" w:color="auto" w:sz="8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/>
      <w:color w:val="000000"/>
      <w:sz w:val="21"/>
      <w:szCs w:val="21"/>
    </w:rPr>
  </w:style>
  <w:style w:type="paragraph" w:customStyle="1" w:styleId="268">
    <w:name w:val="xl73"/>
    <w:basedOn w:val="1"/>
    <w:qFormat/>
    <w:uiPriority w:val="0"/>
    <w:pPr>
      <w:pBdr>
        <w:top w:val="single" w:color="auto" w:sz="8" w:space="0"/>
        <w:left w:val="single" w:color="auto" w:sz="8" w:space="0"/>
        <w:right w:val="single" w:color="auto" w:sz="8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/>
      <w:color w:val="000000"/>
      <w:sz w:val="21"/>
      <w:szCs w:val="21"/>
    </w:rPr>
  </w:style>
  <w:style w:type="paragraph" w:customStyle="1" w:styleId="269">
    <w:name w:val="picture"/>
    <w:basedOn w:val="13"/>
    <w:qFormat/>
    <w:uiPriority w:val="0"/>
    <w:pPr>
      <w:spacing w:before="360" w:after="240"/>
      <w:ind w:firstLine="482" w:firstLineChars="0"/>
      <w:jc w:val="center"/>
    </w:pPr>
    <w:rPr>
      <w:rFonts w:ascii="Times New Roman" w:hAnsi="Times New Roman"/>
      <w:b/>
      <w:sz w:val="24"/>
    </w:rPr>
  </w:style>
  <w:style w:type="character" w:customStyle="1" w:styleId="270">
    <w:name w:val="font11"/>
    <w:basedOn w:val="40"/>
    <w:qFormat/>
    <w:uiPriority w:val="0"/>
    <w:rPr>
      <w:rFonts w:hint="eastAsia" w:ascii="宋体" w:hAnsi="宋体" w:eastAsia="宋体" w:cs="宋体"/>
      <w:b/>
      <w:color w:val="000000"/>
      <w:sz w:val="20"/>
      <w:szCs w:val="20"/>
      <w:u w:val="none"/>
    </w:rPr>
  </w:style>
  <w:style w:type="character" w:customStyle="1" w:styleId="271">
    <w:name w:val="font01"/>
    <w:basedOn w:val="40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72">
    <w:name w:val="font31"/>
    <w:basedOn w:val="40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273">
    <w:name w:val="font21"/>
    <w:basedOn w:val="40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274">
    <w:name w:val="标题 2 字符2"/>
    <w:basedOn w:val="40"/>
    <w:semiHidden/>
    <w:qFormat/>
    <w:uiPriority w:val="9"/>
    <w:rPr>
      <w:rFonts w:asciiTheme="majorHAnsi" w:hAnsiTheme="majorHAnsi" w:eastAsiaTheme="majorEastAsia" w:cstheme="majorBidi"/>
      <w:b/>
      <w:bCs/>
      <w:kern w:val="0"/>
      <w:sz w:val="32"/>
      <w:szCs w:val="32"/>
    </w:rPr>
  </w:style>
  <w:style w:type="character" w:customStyle="1" w:styleId="275">
    <w:name w:val="标题 5 字符2"/>
    <w:basedOn w:val="40"/>
    <w:semiHidden/>
    <w:qFormat/>
    <w:uiPriority w:val="9"/>
    <w:rPr>
      <w:rFonts w:ascii="Times New Roman" w:hAnsi="Times New Roman" w:eastAsia="宋体" w:cs="宋体"/>
      <w:b/>
      <w:bCs/>
      <w:kern w:val="0"/>
      <w:sz w:val="28"/>
      <w:szCs w:val="28"/>
    </w:rPr>
  </w:style>
  <w:style w:type="character" w:customStyle="1" w:styleId="276">
    <w:name w:val="标题 字符2"/>
    <w:basedOn w:val="40"/>
    <w:qFormat/>
    <w:uiPriority w:val="10"/>
    <w:rPr>
      <w:rFonts w:asciiTheme="majorHAnsi" w:hAnsiTheme="majorHAnsi" w:eastAsiaTheme="majorEastAsia" w:cstheme="majorBidi"/>
      <w:b/>
      <w:bCs/>
      <w:kern w:val="0"/>
      <w:sz w:val="32"/>
      <w:szCs w:val="32"/>
    </w:rPr>
  </w:style>
  <w:style w:type="paragraph" w:customStyle="1" w:styleId="277">
    <w:name w:val="普通(网站)1"/>
    <w:basedOn w:val="1"/>
    <w:next w:val="35"/>
    <w:semiHidden/>
    <w:qFormat/>
    <w:uiPriority w:val="99"/>
    <w:pPr>
      <w:widowControl w:val="0"/>
      <w:spacing w:line="240" w:lineRule="auto"/>
      <w:ind w:firstLine="0" w:firstLineChars="0"/>
    </w:pPr>
    <w:rPr>
      <w:rFonts w:cs="Times New Roman"/>
      <w:kern w:val="2"/>
      <w:szCs w:val="22"/>
    </w:rPr>
  </w:style>
  <w:style w:type="character" w:customStyle="1" w:styleId="278">
    <w:name w:val="正文文本缩进 2 字符"/>
    <w:basedOn w:val="40"/>
    <w:link w:val="22"/>
    <w:qFormat/>
    <w:uiPriority w:val="0"/>
    <w:rPr>
      <w:rFonts w:ascii="Times New Roman" w:hAnsi="Times New Roman" w:eastAsia="仿宋_GB2312" w:cs="Times New Roman"/>
      <w:color w:val="000000"/>
      <w:sz w:val="32"/>
      <w:szCs w:val="24"/>
    </w:rPr>
  </w:style>
  <w:style w:type="paragraph" w:customStyle="1" w:styleId="279">
    <w:name w:val="Char"/>
    <w:basedOn w:val="1"/>
    <w:qFormat/>
    <w:uiPriority w:val="0"/>
    <w:pPr>
      <w:widowControl w:val="0"/>
    </w:pPr>
    <w:rPr>
      <w:rFonts w:ascii="宋体" w:hAnsi="宋体" w:cs="Courier New"/>
      <w:kern w:val="2"/>
      <w:sz w:val="32"/>
      <w:szCs w:val="32"/>
    </w:rPr>
  </w:style>
  <w:style w:type="paragraph" w:customStyle="1" w:styleId="280">
    <w:name w:val="列出段落1"/>
    <w:basedOn w:val="1"/>
    <w:qFormat/>
    <w:uiPriority w:val="0"/>
    <w:pPr>
      <w:widowControl w:val="0"/>
      <w:ind w:firstLine="420"/>
    </w:pPr>
    <w:rPr>
      <w:rFonts w:cs="Times New Roman"/>
      <w:kern w:val="2"/>
    </w:rPr>
  </w:style>
  <w:style w:type="table" w:customStyle="1" w:styleId="281">
    <w:name w:val="网格型浅色1"/>
    <w:basedOn w:val="38"/>
    <w:qFormat/>
    <w:uiPriority w:val="40"/>
    <w:rPr>
      <w:kern w:val="0"/>
      <w:sz w:val="20"/>
      <w:szCs w:val="20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282">
    <w:name w:val="无格式表格 11"/>
    <w:basedOn w:val="38"/>
    <w:qFormat/>
    <w:uiPriority w:val="41"/>
    <w:rPr>
      <w:kern w:val="0"/>
      <w:sz w:val="20"/>
      <w:szCs w:val="20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83">
    <w:name w:val="无格式表格 21"/>
    <w:basedOn w:val="38"/>
    <w:qFormat/>
    <w:uiPriority w:val="42"/>
    <w:rPr>
      <w:kern w:val="0"/>
      <w:sz w:val="20"/>
      <w:szCs w:val="20"/>
    </w:rPr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b/>
        <w:bC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2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1Horz">
      <w:tcPr>
        <w:tcBorders>
          <w:top w:val="single" w:color="7E7E7E" w:themeColor="text1" w:themeTint="80" w:sz="4" w:space="0"/>
          <w:bottom w:val="single" w:color="7E7E7E" w:themeColor="text1" w:themeTint="80" w:sz="4" w:space="0"/>
        </w:tcBorders>
      </w:tcPr>
    </w:tblStylePr>
  </w:style>
  <w:style w:type="character" w:customStyle="1" w:styleId="284">
    <w:name w:val="未处理的提及5"/>
    <w:basedOn w:val="40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85">
    <w:name w:val="样式3"/>
    <w:basedOn w:val="19"/>
    <w:qFormat/>
    <w:uiPriority w:val="0"/>
    <w:pPr>
      <w:widowControl w:val="0"/>
      <w:spacing w:line="240" w:lineRule="auto"/>
      <w:ind w:firstLine="0" w:firstLineChars="0"/>
    </w:pPr>
    <w:rPr>
      <w:rFonts w:eastAsia="方正书宋简体"/>
      <w:b/>
      <w:kern w:val="2"/>
      <w:sz w:val="28"/>
    </w:rPr>
  </w:style>
  <w:style w:type="character" w:customStyle="1" w:styleId="286">
    <w:name w:val="纯文本 字符1"/>
    <w:basedOn w:val="40"/>
    <w:link w:val="19"/>
    <w:semiHidden/>
    <w:qFormat/>
    <w:uiPriority w:val="99"/>
    <w:rPr>
      <w:rFonts w:ascii="宋体" w:hAnsi="Courier New" w:eastAsia="宋体" w:cs="Courier New"/>
      <w:kern w:val="0"/>
      <w:szCs w:val="21"/>
    </w:rPr>
  </w:style>
  <w:style w:type="paragraph" w:customStyle="1" w:styleId="287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kern w:val="0"/>
      <w:sz w:val="24"/>
      <w:szCs w:val="24"/>
      <w:lang w:val="en-US" w:eastAsia="zh-CN" w:bidi="ar-SA"/>
    </w:rPr>
  </w:style>
  <w:style w:type="paragraph" w:customStyle="1" w:styleId="288">
    <w:name w:val="！正文"/>
    <w:basedOn w:val="1"/>
    <w:qFormat/>
    <w:uiPriority w:val="0"/>
    <w:pPr>
      <w:widowControl w:val="0"/>
      <w:ind w:firstLine="560"/>
      <w:jc w:val="left"/>
    </w:pPr>
    <w:rPr>
      <w:rFonts w:cs="Times New Roman"/>
    </w:rPr>
  </w:style>
  <w:style w:type="character" w:customStyle="1" w:styleId="289">
    <w:name w:val="正文文本 字符"/>
    <w:basedOn w:val="40"/>
    <w:link w:val="16"/>
    <w:qFormat/>
    <w:uiPriority w:val="99"/>
    <w:rPr>
      <w:rFonts w:ascii="宋体" w:hAnsi="宋体" w:eastAsia="宋体" w:cs="宋体"/>
      <w:kern w:val="0"/>
      <w:sz w:val="30"/>
      <w:szCs w:val="30"/>
    </w:rPr>
  </w:style>
  <w:style w:type="paragraph" w:customStyle="1" w:styleId="290">
    <w:name w:val="报告标题"/>
    <w:qFormat/>
    <w:uiPriority w:val="0"/>
    <w:pPr>
      <w:spacing w:before="50" w:beforeLines="50" w:line="360" w:lineRule="auto"/>
      <w:jc w:val="center"/>
    </w:pPr>
    <w:rPr>
      <w:rFonts w:ascii="Times New Roman" w:hAnsi="Times New Roman" w:eastAsia="楷体" w:cs="Times New Roman"/>
      <w:b/>
      <w:kern w:val="0"/>
      <w:sz w:val="48"/>
      <w:szCs w:val="24"/>
      <w:lang w:val="en-US" w:eastAsia="zh-CN" w:bidi="ar-SA"/>
    </w:rPr>
  </w:style>
  <w:style w:type="character" w:styleId="291">
    <w:name w:val="Placeholder Text"/>
    <w:basedOn w:val="40"/>
    <w:semiHidden/>
    <w:qFormat/>
    <w:uiPriority w:val="99"/>
    <w:rPr>
      <w:color w:val="808080"/>
    </w:rPr>
  </w:style>
  <w:style w:type="table" w:customStyle="1" w:styleId="292">
    <w:name w:val="清单表 21"/>
    <w:basedOn w:val="38"/>
    <w:qFormat/>
    <w:uiPriority w:val="47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666666" w:themeColor="text1" w:themeTint="99" w:sz="4" w:space="0"/>
        <w:bottom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character" w:customStyle="1" w:styleId="293">
    <w:name w:val="short_text"/>
    <w:basedOn w:val="40"/>
    <w:qFormat/>
    <w:uiPriority w:val="0"/>
  </w:style>
  <w:style w:type="table" w:customStyle="1" w:styleId="294">
    <w:name w:val="清单表 1 浅色1"/>
    <w:basedOn w:val="38"/>
    <w:qFormat/>
    <w:uiPriority w:val="46"/>
    <w:rPr>
      <w:rFonts w:ascii="Times New Roman" w:hAnsi="Times New Roman" w:eastAsia="宋体" w:cs="Times New Roman"/>
      <w:kern w:val="0"/>
      <w:sz w:val="20"/>
      <w:szCs w:val="20"/>
    </w:rPr>
    <w:tblStylePr w:type="firstRow">
      <w:rPr>
        <w:b/>
        <w:bCs/>
      </w:rPr>
      <w:tcPr>
        <w:tcBorders>
          <w:bottom w:val="single" w:color="666666" w:themeColor="text1" w:themeTint="99" w:sz="4" w:space="0"/>
        </w:tcBorders>
      </w:tcPr>
    </w:tblStylePr>
    <w:tblStylePr w:type="lastRow">
      <w:rPr>
        <w:b/>
        <w:bCs/>
      </w:rPr>
      <w:tcPr>
        <w:tcBorders>
          <w:top w:val="sing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295">
    <w:name w:val="网格表 1 浅色1"/>
    <w:basedOn w:val="38"/>
    <w:qFormat/>
    <w:uiPriority w:val="46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96">
    <w:name w:val="网格表 6 彩色1"/>
    <w:basedOn w:val="38"/>
    <w:qFormat/>
    <w:uiPriority w:val="51"/>
    <w:rPr>
      <w:rFonts w:ascii="Times New Roman" w:hAnsi="Times New Roman" w:eastAsia="宋体" w:cs="Times New Roman"/>
      <w:color w:val="000000" w:themeColor="text1"/>
      <w:kern w:val="0"/>
      <w:sz w:val="20"/>
      <w:szCs w:val="20"/>
      <w14:textFill>
        <w14:solidFill>
          <w14:schemeClr w14:val="tx1"/>
        </w14:solidFill>
      </w14:textFill>
    </w:rPr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paragraph" w:customStyle="1" w:styleId="297">
    <w:name w:val="Table Paragraph"/>
    <w:basedOn w:val="1"/>
    <w:qFormat/>
    <w:uiPriority w:val="0"/>
    <w:pPr>
      <w:widowControl w:val="0"/>
      <w:autoSpaceDE w:val="0"/>
      <w:autoSpaceDN w:val="0"/>
      <w:spacing w:before="47" w:line="240" w:lineRule="auto"/>
      <w:ind w:firstLine="0" w:firstLineChars="0"/>
      <w:jc w:val="left"/>
    </w:pPr>
    <w:rPr>
      <w:rFonts w:cs="Times New Roman"/>
      <w:sz w:val="22"/>
      <w:szCs w:val="22"/>
    </w:rPr>
  </w:style>
  <w:style w:type="paragraph" w:customStyle="1" w:styleId="298">
    <w:name w:val="列表段落1"/>
    <w:basedOn w:val="1"/>
    <w:qFormat/>
    <w:uiPriority w:val="0"/>
    <w:pPr>
      <w:widowControl w:val="0"/>
      <w:autoSpaceDE w:val="0"/>
      <w:autoSpaceDN w:val="0"/>
      <w:spacing w:line="240" w:lineRule="auto"/>
      <w:ind w:left="1343" w:hanging="527" w:firstLineChars="0"/>
      <w:jc w:val="left"/>
    </w:pPr>
    <w:rPr>
      <w:rFonts w:ascii="宋体" w:hAnsi="宋体"/>
      <w:sz w:val="22"/>
      <w:szCs w:val="22"/>
    </w:rPr>
  </w:style>
  <w:style w:type="table" w:customStyle="1" w:styleId="299">
    <w:name w:val="无格式表格 22"/>
    <w:basedOn w:val="38"/>
    <w:qFormat/>
    <w:uiPriority w:val="42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b/>
        <w:bC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2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1Horz">
      <w:tcPr>
        <w:tcBorders>
          <w:top w:val="single" w:color="7E7E7E" w:themeColor="text1" w:themeTint="80" w:sz="4" w:space="0"/>
          <w:bottom w:val="single" w:color="7E7E7E" w:themeColor="text1" w:themeTint="80" w:sz="4" w:space="0"/>
        </w:tcBorders>
      </w:tcPr>
    </w:tblStylePr>
  </w:style>
  <w:style w:type="character" w:customStyle="1" w:styleId="300">
    <w:name w:val="number2"/>
    <w:basedOn w:val="40"/>
    <w:qFormat/>
    <w:uiPriority w:val="0"/>
  </w:style>
  <w:style w:type="paragraph" w:customStyle="1" w:styleId="301">
    <w:name w:val="表题"/>
    <w:basedOn w:val="1"/>
    <w:link w:val="302"/>
    <w:qFormat/>
    <w:uiPriority w:val="0"/>
    <w:pPr>
      <w:ind w:firstLine="0" w:firstLineChars="0"/>
      <w:jc w:val="center"/>
    </w:pPr>
    <w:rPr>
      <w:rFonts w:cs="Times New Roman"/>
      <w:b/>
      <w:color w:val="000000" w:themeColor="text1"/>
      <w:szCs w:val="36"/>
      <w14:textFill>
        <w14:solidFill>
          <w14:schemeClr w14:val="tx1"/>
        </w14:solidFill>
      </w14:textFill>
    </w:rPr>
  </w:style>
  <w:style w:type="character" w:customStyle="1" w:styleId="302">
    <w:name w:val="表题 字符"/>
    <w:basedOn w:val="40"/>
    <w:link w:val="301"/>
    <w:qFormat/>
    <w:uiPriority w:val="0"/>
    <w:rPr>
      <w:rFonts w:ascii="Times New Roman" w:hAnsi="Times New Roman" w:eastAsia="宋体" w:cs="Times New Roman"/>
      <w:b/>
      <w:color w:val="000000" w:themeColor="text1"/>
      <w:kern w:val="0"/>
      <w:sz w:val="24"/>
      <w:szCs w:val="36"/>
      <w14:textFill>
        <w14:solidFill>
          <w14:schemeClr w14:val="tx1"/>
        </w14:solidFill>
      </w14:textFill>
    </w:rPr>
  </w:style>
  <w:style w:type="character" w:customStyle="1" w:styleId="303">
    <w:name w:val="表内容 Char"/>
    <w:basedOn w:val="40"/>
    <w:qFormat/>
    <w:uiPriority w:val="0"/>
    <w:rPr>
      <w:rFonts w:cs="宋体"/>
      <w:color w:val="000000"/>
      <w:kern w:val="0"/>
      <w:sz w:val="21"/>
      <w:szCs w:val="24"/>
    </w:rPr>
  </w:style>
  <w:style w:type="character" w:customStyle="1" w:styleId="304">
    <w:name w:val="font101"/>
    <w:basedOn w:val="40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305">
    <w:name w:val="font112"/>
    <w:basedOn w:val="40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306">
    <w:name w:val="font121"/>
    <w:basedOn w:val="40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307">
    <w:name w:val="font131"/>
    <w:basedOn w:val="40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308">
    <w:name w:val="font151"/>
    <w:basedOn w:val="40"/>
    <w:qFormat/>
    <w:uiPriority w:val="0"/>
    <w:rPr>
      <w:rFonts w:hint="eastAsia" w:ascii="等线" w:hAnsi="等线" w:eastAsia="等线" w:cs="等线"/>
      <w:color w:val="000000"/>
      <w:sz w:val="18"/>
      <w:szCs w:val="18"/>
      <w:u w:val="none"/>
    </w:rPr>
  </w:style>
  <w:style w:type="character" w:customStyle="1" w:styleId="309">
    <w:name w:val="font171"/>
    <w:basedOn w:val="40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310">
    <w:name w:val="font181"/>
    <w:basedOn w:val="40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paragraph" w:customStyle="1" w:styleId="311">
    <w:name w:val="【正文】"/>
    <w:qFormat/>
    <w:uiPriority w:val="0"/>
    <w:pPr>
      <w:adjustRightInd w:val="0"/>
      <w:snapToGrid w:val="0"/>
      <w:spacing w:line="360" w:lineRule="auto"/>
      <w:ind w:firstLine="200" w:firstLineChars="200"/>
      <w:jc w:val="both"/>
    </w:pPr>
    <w:rPr>
      <w:rFonts w:ascii="Calibri" w:hAnsi="Calibri" w:eastAsia="Times New Roman" w:cs="宋体"/>
      <w:color w:val="0000CC"/>
      <w:kern w:val="2"/>
      <w:sz w:val="24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12F4E8-F987-4AD9-8CE8-28C55EEF153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3231</Words>
  <Characters>4682</Characters>
  <Lines>85</Lines>
  <Paragraphs>24</Paragraphs>
  <TotalTime>23</TotalTime>
  <ScaleCrop>false</ScaleCrop>
  <LinksUpToDate>false</LinksUpToDate>
  <CharactersWithSpaces>4771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2020-12-10T03:46:00Z</dcterms:created>
  <dc:creator>Pony环咨1</dc:creator>
  <cp:lastModifiedBy>仲良</cp:lastModifiedBy>
  <dcterms:modified xsi:type="dcterms:W3CDTF">2024-02-18T07:00:30Z</dcterms:modified>
  <cp:revision>55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52DB596B5DE4455B9F6F6F85A4829437_13</vt:lpwstr>
  </property>
</Properties>
</file>