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jc w:val="center"/>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lang w:val="en-US" w:eastAsia="zh-CN"/>
        </w:rPr>
        <w:t>调研</w:t>
      </w:r>
      <w:r>
        <w:rPr>
          <w:rFonts w:hint="eastAsia" w:ascii="方正小标宋简体" w:hAnsi="方正小标宋简体" w:eastAsia="方正小标宋简体" w:cs="方正小标宋简体"/>
          <w:sz w:val="32"/>
          <w:szCs w:val="32"/>
          <w:lang w:eastAsia="zh-CN"/>
        </w:rPr>
        <w:t>清单及需求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53"/>
        <w:gridCol w:w="580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0" w:type="dxa"/>
            <w:vAlign w:val="center"/>
          </w:tcPr>
          <w:p>
            <w:pPr>
              <w:snapToGrid w:val="0"/>
              <w:spacing w:line="440" w:lineRule="exact"/>
              <w:jc w:val="center"/>
              <w:rPr>
                <w:rFonts w:hint="eastAsia" w:ascii="方正小标宋简体" w:hAnsi="方正小标宋简体" w:eastAsia="方正小标宋简体" w:cs="方正小标宋简体"/>
                <w:sz w:val="32"/>
                <w:szCs w:val="32"/>
                <w:vertAlign w:val="baseline"/>
                <w:lang w:eastAsia="zh-CN"/>
              </w:rPr>
            </w:pPr>
            <w:r>
              <w:rPr>
                <w:rFonts w:hint="eastAsia" w:ascii="宋体" w:hAnsi="宋体"/>
                <w:b/>
                <w:bCs/>
                <w:szCs w:val="21"/>
              </w:rPr>
              <w:t>序号</w:t>
            </w:r>
          </w:p>
        </w:tc>
        <w:tc>
          <w:tcPr>
            <w:tcW w:w="1353" w:type="dxa"/>
            <w:vAlign w:val="center"/>
          </w:tcPr>
          <w:p>
            <w:pPr>
              <w:snapToGrid w:val="0"/>
              <w:spacing w:line="440" w:lineRule="exact"/>
              <w:jc w:val="center"/>
              <w:rPr>
                <w:rFonts w:hint="eastAsia" w:ascii="方正小标宋简体" w:hAnsi="方正小标宋简体" w:eastAsia="方正小标宋简体" w:cs="方正小标宋简体"/>
                <w:sz w:val="32"/>
                <w:szCs w:val="32"/>
                <w:vertAlign w:val="baseline"/>
                <w:lang w:eastAsia="zh-CN"/>
              </w:rPr>
            </w:pPr>
            <w:r>
              <w:rPr>
                <w:rFonts w:hint="eastAsia" w:ascii="宋体" w:hAnsi="宋体"/>
                <w:b/>
                <w:bCs/>
                <w:szCs w:val="21"/>
              </w:rPr>
              <w:t>产品名称</w:t>
            </w:r>
          </w:p>
        </w:tc>
        <w:tc>
          <w:tcPr>
            <w:tcW w:w="5800" w:type="dxa"/>
            <w:vAlign w:val="center"/>
          </w:tcPr>
          <w:p>
            <w:pPr>
              <w:snapToGrid w:val="0"/>
              <w:spacing w:line="440" w:lineRule="exact"/>
              <w:jc w:val="center"/>
              <w:rPr>
                <w:rFonts w:hint="eastAsia" w:ascii="方正小标宋简体" w:hAnsi="方正小标宋简体" w:eastAsia="方正小标宋简体" w:cs="方正小标宋简体"/>
                <w:sz w:val="32"/>
                <w:szCs w:val="32"/>
                <w:vertAlign w:val="baseline"/>
                <w:lang w:eastAsia="zh-CN"/>
              </w:rPr>
            </w:pPr>
            <w:r>
              <w:rPr>
                <w:rFonts w:hint="eastAsia" w:ascii="宋体" w:hAnsi="宋体"/>
                <w:b/>
                <w:bCs/>
                <w:szCs w:val="21"/>
              </w:rPr>
              <w:t>功能要求</w:t>
            </w:r>
          </w:p>
        </w:tc>
        <w:tc>
          <w:tcPr>
            <w:tcW w:w="1078" w:type="dxa"/>
            <w:vAlign w:val="center"/>
          </w:tcPr>
          <w:p>
            <w:pPr>
              <w:snapToGrid w:val="0"/>
              <w:spacing w:line="440" w:lineRule="exact"/>
              <w:jc w:val="center"/>
              <w:rPr>
                <w:rFonts w:hint="eastAsia" w:ascii="方正小标宋简体" w:hAnsi="方正小标宋简体" w:eastAsia="方正小标宋简体" w:cs="方正小标宋简体"/>
                <w:sz w:val="32"/>
                <w:szCs w:val="32"/>
                <w:vertAlign w:val="baseline"/>
                <w:lang w:eastAsia="zh-CN"/>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rPr>
              <w:t>01</w:t>
            </w:r>
          </w:p>
        </w:tc>
        <w:tc>
          <w:tcPr>
            <w:tcW w:w="1353" w:type="dxa"/>
            <w:vAlign w:val="center"/>
          </w:tcPr>
          <w:p>
            <w:pPr>
              <w:widowControl/>
              <w:jc w:val="left"/>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染色体拷贝数变异检测试剂盒（可逆末端终止测序法</w:t>
            </w:r>
          </w:p>
        </w:tc>
        <w:tc>
          <w:tcPr>
            <w:tcW w:w="580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试剂盒需符合国家法规标准的认证，即具有医疗器械注册证，提供注册证复印件。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获得国家药品监督管理局（NMPA）的中华人民共和国医疗器械注册证，为临床通用型平台，注册范围除用于CNVseq检测，还可用于其他体外诊断项目的检测。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要求</w:t>
            </w:r>
            <w:r>
              <w:rPr>
                <w:rFonts w:hint="eastAsia" w:asciiTheme="minorEastAsia" w:hAnsiTheme="minorEastAsia" w:eastAsiaTheme="minorEastAsia" w:cstheme="minorEastAsia"/>
                <w:b w:val="0"/>
                <w:bCs/>
                <w:sz w:val="21"/>
                <w:szCs w:val="21"/>
              </w:rPr>
              <w:t>样本起始量低，10ng样本DNA即可进行准确、稳定的检测，需提供第三方文献等证明材料。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建库步骤简单，要求3小时内完成建库，成功率高达99.5%以上，提供证明文件。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操作流程简便，1天内即可完成从提取到测序的全流程，并提供证明材料。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实验流程简单快速，24小时内即可得到染色体拷贝数变异检测结果。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建库全程无PCR扩增过程，无需PCR前后纯化步骤，适合大规模应用，</w:t>
            </w:r>
            <w:r>
              <w:rPr>
                <w:rFonts w:hint="eastAsia" w:asciiTheme="minorEastAsia" w:hAnsiTheme="minorEastAsia" w:eastAsiaTheme="minorEastAsia" w:cstheme="minorEastAsia"/>
                <w:b w:val="0"/>
                <w:bCs/>
                <w:sz w:val="21"/>
                <w:szCs w:val="21"/>
                <w:lang w:val="en-US" w:eastAsia="zh-CN"/>
              </w:rPr>
              <w:t>要求</w:t>
            </w:r>
            <w:r>
              <w:rPr>
                <w:rFonts w:hint="eastAsia" w:asciiTheme="minorEastAsia" w:hAnsiTheme="minorEastAsia" w:eastAsiaTheme="minorEastAsia" w:cstheme="minorEastAsia"/>
                <w:b w:val="0"/>
                <w:bCs/>
                <w:sz w:val="21"/>
                <w:szCs w:val="21"/>
              </w:rPr>
              <w:t>提供所用方法学专家认可文件及试剂盒的说明书。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试剂盒注册证适用范围需包括第13号、18号、21号、性染色体的非整倍体，以及第15号染色体q11.2-q13区域、7号染色体q11.23区域的缺失情况。</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试剂盒所有组分均可保存在同一温度下，有效期不少于12个月。</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适用仪器：</w:t>
            </w:r>
            <w:r>
              <w:rPr>
                <w:rFonts w:hint="eastAsia" w:asciiTheme="minorEastAsia" w:hAnsiTheme="minorEastAsia" w:eastAsiaTheme="minorEastAsia" w:cstheme="minorEastAsia"/>
                <w:b w:val="0"/>
                <w:bCs/>
                <w:sz w:val="21"/>
                <w:szCs w:val="21"/>
                <w:lang w:eastAsia="zh-CN"/>
              </w:rPr>
              <w:t>匹配现有</w:t>
            </w:r>
            <w:r>
              <w:rPr>
                <w:rFonts w:hint="eastAsia" w:asciiTheme="minorEastAsia" w:hAnsiTheme="minorEastAsia" w:eastAsiaTheme="minorEastAsia" w:cstheme="minorEastAsia"/>
                <w:b w:val="0"/>
                <w:bCs/>
                <w:sz w:val="21"/>
                <w:szCs w:val="21"/>
              </w:rPr>
              <w:t>基因测序仪NextSeq CN500。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测序质量：以Q30为测序质量标准（即每个碱基的准确度为99.9％），标准品Phix在2X150测序模式下，75%以上的碱基比例达到Q30，CNV测序模式下，85%以上的碱基比例达到Q30。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数据分析结果无灰区设置，提高实验成功率。</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可一次分析23对染色体的数目和结构异常，发现全部的染色体非整倍体及大于100Kb的染色体及拷贝数（CNV）变异。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可检测低至5%的非整倍体嵌合体，该检测性应进行了方法学论证，并提供SCI发表的文章复印件。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拥有基于最新ACMG指南的CNV自动打分评级系统。</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具有人工智能撰写报告功能，且此功能基于20万份临床报告的深度学习完成。</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具备本地化数据分析软件，能实现从数据下机、数据分析、结果解读、报告出具全环节自主操作，提供证明文件。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该试剂盒已在临床上广泛应用，</w:t>
            </w:r>
            <w:r>
              <w:rPr>
                <w:rFonts w:hint="eastAsia" w:asciiTheme="minorEastAsia" w:hAnsiTheme="minorEastAsia" w:eastAsiaTheme="minorEastAsia" w:cstheme="minorEastAsia"/>
                <w:b w:val="0"/>
                <w:bCs/>
                <w:color w:val="FF0000"/>
                <w:sz w:val="21"/>
                <w:szCs w:val="21"/>
              </w:rPr>
              <w:t xml:space="preserve">在四川省内至少有 </w:t>
            </w:r>
            <w:r>
              <w:rPr>
                <w:rFonts w:hint="eastAsia" w:asciiTheme="minorEastAsia" w:hAnsiTheme="minorEastAsia" w:eastAsiaTheme="minorEastAsia" w:cstheme="minorEastAsia"/>
                <w:b w:val="0"/>
                <w:bCs/>
                <w:color w:val="FF0000"/>
                <w:sz w:val="21"/>
                <w:szCs w:val="21"/>
                <w:lang w:val="en-US" w:eastAsia="zh-CN"/>
              </w:rPr>
              <w:t>3</w:t>
            </w:r>
            <w:r>
              <w:rPr>
                <w:rFonts w:hint="eastAsia" w:asciiTheme="minorEastAsia" w:hAnsiTheme="minorEastAsia" w:eastAsiaTheme="minorEastAsia" w:cstheme="minorEastAsia"/>
                <w:b w:val="0"/>
                <w:bCs/>
                <w:color w:val="FF0000"/>
                <w:sz w:val="21"/>
                <w:szCs w:val="21"/>
              </w:rPr>
              <w:t>家三甲医院（产诊中心）临床使用，</w:t>
            </w:r>
            <w:r>
              <w:rPr>
                <w:rFonts w:hint="eastAsia" w:asciiTheme="minorEastAsia" w:hAnsiTheme="minorEastAsia" w:eastAsiaTheme="minorEastAsia" w:cstheme="minorEastAsia"/>
                <w:b w:val="0"/>
                <w:bCs/>
                <w:color w:val="FF0000"/>
                <w:sz w:val="21"/>
                <w:szCs w:val="21"/>
                <w:lang w:eastAsia="zh-CN"/>
              </w:rPr>
              <w:t>并无不良反应</w:t>
            </w:r>
            <w:r>
              <w:rPr>
                <w:rFonts w:hint="eastAsia" w:asciiTheme="minorEastAsia" w:hAnsiTheme="minorEastAsia" w:eastAsiaTheme="minorEastAsia" w:cstheme="minorEastAsia"/>
                <w:b w:val="0"/>
                <w:bCs/>
                <w:sz w:val="21"/>
                <w:szCs w:val="21"/>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已有临床实践大数据验证，对比此技术与CMA在检测CNVs上的检测效能符合率为100%，提供证明文件。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42" w:leftChars="0" w:hanging="442"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具有专业的生信分析团队及遗传咨询团队，并具有专业的遗传咨询证书，需提供证书复印件。</w:t>
            </w:r>
          </w:p>
        </w:tc>
        <w:tc>
          <w:tcPr>
            <w:tcW w:w="1078" w:type="dxa"/>
            <w:vAlign w:val="center"/>
          </w:tcPr>
          <w:p>
            <w:pPr>
              <w:jc w:val="center"/>
              <w:rPr>
                <w:rFonts w:hint="eastAsia"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02</w:t>
            </w:r>
          </w:p>
          <w:p>
            <w:pPr>
              <w:jc w:val="center"/>
              <w:rPr>
                <w:rFonts w:hint="eastAsia" w:asciiTheme="minorEastAsia" w:hAnsiTheme="minorEastAsia" w:eastAsiaTheme="minorEastAsia" w:cstheme="minorEastAsia"/>
                <w:b w:val="0"/>
                <w:bCs/>
                <w:sz w:val="21"/>
                <w:szCs w:val="21"/>
              </w:rPr>
            </w:pPr>
          </w:p>
        </w:tc>
        <w:tc>
          <w:tcPr>
            <w:tcW w:w="1353" w:type="dxa"/>
            <w:vAlign w:val="center"/>
          </w:tcPr>
          <w:p>
            <w:pPr>
              <w:widowControl/>
              <w:jc w:val="left"/>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shd w:val="clear" w:color="auto" w:fill="FFFFFF"/>
              </w:rPr>
              <w:t>核酸提取或纯化试剂（磁珠法）-全套试剂</w:t>
            </w:r>
          </w:p>
        </w:tc>
        <w:tc>
          <w:tcPr>
            <w:tcW w:w="5800"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试剂盒须获得第一类医疗器械备案凭证，并提供证明材</w:t>
            </w:r>
            <w:r>
              <w:rPr>
                <w:rFonts w:hint="eastAsia" w:asciiTheme="minorEastAsia" w:hAnsiTheme="minorEastAsia" w:cstheme="minorEastAsia"/>
                <w:b w:val="0"/>
                <w:bCs/>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DNA纯化系统：低样本量，最低可纯化2ng DNA；DNA 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化率高，100bp以上DNA纯化率高于80%。</w:t>
            </w:r>
          </w:p>
        </w:tc>
        <w:tc>
          <w:tcPr>
            <w:tcW w:w="1078" w:type="dxa"/>
            <w:vAlign w:val="center"/>
          </w:tcPr>
          <w:p>
            <w:pPr>
              <w:snapToGrid w:val="0"/>
              <w:spacing w:line="440" w:lineRule="exact"/>
              <w:jc w:val="center"/>
              <w:rPr>
                <w:rFonts w:hint="eastAsia"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snapToGrid w:val="0"/>
              <w:spacing w:line="440" w:lineRule="exact"/>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03</w:t>
            </w:r>
          </w:p>
        </w:tc>
        <w:tc>
          <w:tcPr>
            <w:tcW w:w="1353" w:type="dxa"/>
            <w:vAlign w:val="center"/>
          </w:tcPr>
          <w:p>
            <w:pPr>
              <w:widowControl/>
              <w:jc w:val="left"/>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染色体非整倍体（T13/T18/T21)检测试剂盒（可逆末端终止测序法）</w:t>
            </w:r>
          </w:p>
        </w:tc>
        <w:tc>
          <w:tcPr>
            <w:tcW w:w="5800"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试剂盒须获得国家食品药品监督管理总局（NMPA）批准医疗器械产品注册，并提供证明材料。</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检测内容包括：胎儿染色体非整倍体(T13、T18、T21、14 种染色体非整倍体（含性染色体非整倍体）、76 种染色体大片段缺失重复和 7 种染色体微缺失综合征，共 100种染色体疾病)。</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需获得ISO9001及ISO13485 质量体系认证，并提供证书复印件。</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配套分析软件应具有胎儿染色体非整倍体数据分析软件的医疗器械注册证，并提供证书复印件。</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适用仪器：基因测序仪NextSeq CN500。</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存储方便，试剂盒内组分不需分开存放。</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有效期不低于12个月。</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试剂盒冻融次数≥13 次。</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操作步骤简单，建库过程无需 PCR 反应。</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建库成功率在99%以上。</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同一样本在文库构建过程中可实现单管操作不需要更换容器。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整个文库构建流程简单快速，可在3小时之内完成。</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单次测序时间小于6小时。</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兼容性好，可支持 NIPT、NIPT-plus、CNV-Seq、PGT 等同时上机。</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检测数据稳定，正常样本间染色体比例 CV&lt;1%。</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检测结果要求只分阳性（高风险）和阴性（低风险），没有灰区或无法确定的结果。</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产品性能指标：阳性参考品符合率达到 100%。检测国家检测限参考品，5%浓度检测限参考品应全部检出对应阳性，3.5%浓度检测限参考品应准确检出不低于10 个参考品。</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以下</w:t>
            </w:r>
            <w:r>
              <w:rPr>
                <w:rFonts w:hint="eastAsia" w:asciiTheme="minorEastAsia" w:hAnsiTheme="minorEastAsia" w:eastAsiaTheme="minorEastAsia" w:cstheme="minorEastAsia"/>
                <w:b w:val="0"/>
                <w:bCs/>
                <w:sz w:val="21"/>
                <w:szCs w:val="21"/>
                <w:lang w:val="en-US" w:eastAsia="zh-CN"/>
              </w:rPr>
              <w:t>标本</w:t>
            </w:r>
            <w:r>
              <w:rPr>
                <w:rFonts w:hint="eastAsia" w:asciiTheme="minorEastAsia" w:hAnsiTheme="minorEastAsia" w:eastAsiaTheme="minorEastAsia" w:cstheme="minorEastAsia"/>
                <w:b w:val="0"/>
                <w:bCs/>
                <w:sz w:val="21"/>
                <w:szCs w:val="21"/>
              </w:rPr>
              <w:t>全血成分浓度下，检测不受影响（血红蛋白&lt;300 mg/L，甘油三酯&lt;4000 mg/dL，胆红素&lt;2500 umol/L）。不受乙肝病毒、梅毒病毒、巨细胞病毒病原体干扰</w:t>
            </w:r>
            <w:r>
              <w:rPr>
                <w:rFonts w:hint="eastAsia" w:asciiTheme="minorEastAsia" w:hAnsiTheme="minorEastAsia" w:eastAsiaTheme="minorEastAsia" w:cstheme="minorEastAsia"/>
                <w:b w:val="0"/>
                <w:bCs/>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该试剂盒已在临床上广泛应用。</w:t>
            </w:r>
            <w:r>
              <w:rPr>
                <w:rFonts w:hint="eastAsia" w:asciiTheme="minorEastAsia" w:hAnsiTheme="minorEastAsia" w:eastAsiaTheme="minorEastAsia" w:cstheme="minorEastAsia"/>
                <w:b w:val="0"/>
                <w:bCs/>
                <w:color w:val="FF0000"/>
                <w:sz w:val="21"/>
                <w:szCs w:val="21"/>
              </w:rPr>
              <w:t>在四川省内至少有</w:t>
            </w:r>
            <w:r>
              <w:rPr>
                <w:rFonts w:hint="eastAsia" w:asciiTheme="minorEastAsia" w:hAnsiTheme="minorEastAsia" w:eastAsiaTheme="minorEastAsia" w:cstheme="minorEastAsia"/>
                <w:b w:val="0"/>
                <w:bCs/>
                <w:color w:val="FF0000"/>
                <w:sz w:val="21"/>
                <w:szCs w:val="21"/>
                <w:lang w:val="en-US" w:eastAsia="zh-CN"/>
              </w:rPr>
              <w:t>3</w:t>
            </w:r>
            <w:r>
              <w:rPr>
                <w:rFonts w:hint="eastAsia" w:asciiTheme="minorEastAsia" w:hAnsiTheme="minorEastAsia" w:eastAsiaTheme="minorEastAsia" w:cstheme="minorEastAsia"/>
                <w:b w:val="0"/>
                <w:bCs/>
                <w:color w:val="FF0000"/>
                <w:sz w:val="21"/>
                <w:szCs w:val="21"/>
              </w:rPr>
              <w:t>家三甲医院（产诊中心）临床使用</w:t>
            </w:r>
            <w:r>
              <w:rPr>
                <w:rFonts w:hint="eastAsia" w:asciiTheme="minorEastAsia" w:hAnsiTheme="minorEastAsia" w:eastAsiaTheme="minorEastAsia" w:cstheme="minorEastAsia"/>
                <w:b w:val="0"/>
                <w:bCs/>
                <w:color w:val="FF0000"/>
                <w:sz w:val="21"/>
                <w:szCs w:val="21"/>
                <w:lang w:eastAsia="zh-CN"/>
              </w:rPr>
              <w:t>，并无不良反应。</w:t>
            </w:r>
            <w:r>
              <w:rPr>
                <w:rFonts w:hint="eastAsia" w:asciiTheme="minorEastAsia" w:hAnsiTheme="minorEastAsia" w:eastAsiaTheme="minorEastAsia" w:cstheme="minorEastAsia"/>
                <w:b w:val="0"/>
                <w:bCs/>
                <w:sz w:val="21"/>
                <w:szCs w:val="21"/>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hanging="442"/>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T21 检测 PPV（阳性预测值）不低于 94.4%，T18检测 PPV 不低于 86%，T13 检 测 PPV不低于55.7%。</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42" w:leftChars="0" w:hanging="442"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具有专业的生信分析团队及遗传咨询团队，并具有专业的遗传咨询证书，需提供证书复印件。</w:t>
            </w:r>
          </w:p>
        </w:tc>
        <w:tc>
          <w:tcPr>
            <w:tcW w:w="1078" w:type="dxa"/>
            <w:vAlign w:val="center"/>
          </w:tcPr>
          <w:p>
            <w:pPr>
              <w:snapToGrid w:val="0"/>
              <w:spacing w:line="440" w:lineRule="exact"/>
              <w:jc w:val="center"/>
              <w:rPr>
                <w:rFonts w:hint="eastAsia"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0"/>
                <w:sz w:val="21"/>
                <w:szCs w:val="21"/>
              </w:rPr>
              <w:t>0</w:t>
            </w:r>
            <w:r>
              <w:rPr>
                <w:rFonts w:hint="eastAsia" w:asciiTheme="minorEastAsia" w:hAnsiTheme="minorEastAsia" w:eastAsiaTheme="minorEastAsia" w:cstheme="minorEastAsia"/>
                <w:b w:val="0"/>
                <w:bCs/>
                <w:kern w:val="0"/>
                <w:sz w:val="21"/>
                <w:szCs w:val="21"/>
                <w:lang w:val="en-US" w:eastAsia="zh-CN"/>
              </w:rPr>
              <w:t>4</w:t>
            </w:r>
          </w:p>
        </w:tc>
        <w:tc>
          <w:tcPr>
            <w:tcW w:w="1353" w:type="dxa"/>
            <w:vAlign w:val="center"/>
          </w:tcPr>
          <w:p>
            <w:pPr>
              <w:widowControl/>
              <w:jc w:val="left"/>
              <w:textAlignment w:val="center"/>
              <w:rPr>
                <w:rFonts w:hint="eastAsia" w:asciiTheme="minorEastAsia" w:hAnsiTheme="minorEastAsia" w:eastAsiaTheme="minorEastAsia" w:cstheme="minorEastAsia"/>
                <w:b w:val="0"/>
                <w:bCs/>
                <w:sz w:val="21"/>
                <w:szCs w:val="21"/>
              </w:rPr>
            </w:pPr>
          </w:p>
          <w:p>
            <w:pPr>
              <w:pStyle w:val="2"/>
              <w:rPr>
                <w:rFonts w:hint="eastAsia" w:asciiTheme="minorEastAsia" w:hAnsiTheme="minorEastAsia" w:eastAsiaTheme="minorEastAsia" w:cstheme="minorEastAsia"/>
                <w:b w:val="0"/>
                <w:bCs/>
                <w:sz w:val="21"/>
                <w:szCs w:val="21"/>
              </w:rPr>
            </w:pPr>
          </w:p>
          <w:p>
            <w:pPr>
              <w:pStyle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FF0000"/>
                <w:sz w:val="21"/>
                <w:szCs w:val="21"/>
              </w:rPr>
              <w:t>血浆游离 DNA 提取试剂盒（磁珠法）</w:t>
            </w:r>
          </w:p>
        </w:tc>
        <w:tc>
          <w:tcPr>
            <w:tcW w:w="5800"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363" w:hanging="363"/>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试剂盒须获得第一类医疗器械备案凭证，并提供证明材料。</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363" w:hanging="363"/>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提取速度：1.5 小时内手动提取≥20 个样本。</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363" w:hanging="363"/>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一次提取血浆量：一次处理血浆≥1.2ml，确保DNA量满足后续测序。</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363" w:hanging="363"/>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提取DNA效率：1ml血浆平均提取DNA量≥8ng，足以满足后续测序文库的构建。</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363" w:hanging="363"/>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提取DNA纯度：可直接用于下游的测序文库构建、荧光定量 PCR（qRT-PCR）、酶连反应等。</w:t>
            </w:r>
          </w:p>
        </w:tc>
        <w:tc>
          <w:tcPr>
            <w:tcW w:w="1078" w:type="dxa"/>
            <w:vAlign w:val="center"/>
          </w:tcPr>
          <w:p>
            <w:pPr>
              <w:snapToGrid w:val="0"/>
              <w:spacing w:line="440" w:lineRule="exact"/>
              <w:jc w:val="center"/>
              <w:rPr>
                <w:rFonts w:hint="eastAsia"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0</w:t>
            </w:r>
            <w:r>
              <w:rPr>
                <w:rFonts w:hint="eastAsia" w:asciiTheme="minorEastAsia" w:hAnsiTheme="minorEastAsia" w:eastAsiaTheme="minorEastAsia" w:cstheme="minorEastAsia"/>
                <w:b w:val="0"/>
                <w:bCs/>
                <w:kern w:val="0"/>
                <w:sz w:val="21"/>
                <w:szCs w:val="21"/>
                <w:lang w:val="en-US" w:eastAsia="zh-CN"/>
              </w:rPr>
              <w:t>5</w:t>
            </w:r>
          </w:p>
        </w:tc>
        <w:tc>
          <w:tcPr>
            <w:tcW w:w="1353" w:type="dxa"/>
            <w:vAlign w:val="center"/>
          </w:tcPr>
          <w:p>
            <w:pPr>
              <w:widowControl/>
              <w:jc w:val="left"/>
              <w:textAlignment w:val="center"/>
              <w:rPr>
                <w:rFonts w:hint="eastAsia" w:asciiTheme="minorEastAsia" w:hAnsiTheme="minorEastAsia" w:eastAsiaTheme="minorEastAsia" w:cstheme="minorEastAsia"/>
                <w:b w:val="0"/>
                <w:bCs/>
                <w:color w:val="000000"/>
                <w:sz w:val="21"/>
                <w:szCs w:val="21"/>
                <w:shd w:val="clear" w:color="auto" w:fill="FFFFFF"/>
              </w:rPr>
            </w:pPr>
            <w:r>
              <w:rPr>
                <w:rFonts w:hint="eastAsia" w:asciiTheme="minorEastAsia" w:hAnsiTheme="minorEastAsia" w:eastAsiaTheme="minorEastAsia" w:cstheme="minorEastAsia"/>
                <w:b w:val="0"/>
                <w:bCs/>
                <w:color w:val="000000"/>
                <w:sz w:val="21"/>
                <w:szCs w:val="21"/>
                <w:shd w:val="clear" w:color="auto" w:fill="FFFFFF"/>
              </w:rPr>
              <w:t>测序反应通用试剂盒（测序法）-全套试剂</w:t>
            </w:r>
          </w:p>
          <w:p>
            <w:pPr>
              <w:widowControl/>
              <w:jc w:val="left"/>
              <w:textAlignment w:val="center"/>
              <w:rPr>
                <w:rFonts w:hint="eastAsia" w:asciiTheme="minorEastAsia" w:hAnsiTheme="minorEastAsia" w:eastAsiaTheme="minorEastAsia" w:cstheme="minorEastAsia"/>
                <w:b w:val="0"/>
                <w:bCs/>
                <w:color w:val="FF0000"/>
                <w:sz w:val="21"/>
                <w:szCs w:val="21"/>
              </w:rPr>
            </w:pPr>
          </w:p>
        </w:tc>
        <w:tc>
          <w:tcPr>
            <w:tcW w:w="5800"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试剂盒须获得第一类医疗器械备案凭证，并提供证明材料。</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测序时需采取国际认可度最高的测序核心技术：桥式扩增成簇，边合成边测序（SBS）。</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测序质量： 以 Q30 为测序质量标准（即每个碱基的准确度为 99.9％），标准 品 Phix 在 2X150 测序模式下，75%以上的碱基比例可达到 Q30，NIPT 测序模式下，90%以上的碱基比例可达到 Q30。</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预制试剂，操作简单：可预制全部的测序通用试剂，即拆即用，操作简单。</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测序芯片：高通量芯片每次运行可生成 400M条片段序列（Reads）120G碱基数据。</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测序芯片：单张芯片有≥4个流道（lane）。</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单位时间测序通量每24小时可产出不少于100Gb数据量。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8.有效期不低于6个月。</w:t>
            </w:r>
          </w:p>
        </w:tc>
        <w:tc>
          <w:tcPr>
            <w:tcW w:w="1078" w:type="dxa"/>
            <w:vAlign w:val="center"/>
          </w:tcPr>
          <w:p>
            <w:pPr>
              <w:snapToGrid w:val="0"/>
              <w:spacing w:line="440" w:lineRule="exact"/>
              <w:jc w:val="center"/>
              <w:rPr>
                <w:rFonts w:hint="eastAsia" w:asciiTheme="minorEastAsia" w:hAnsiTheme="minorEastAsia" w:eastAsiaTheme="minorEastAsia" w:cstheme="minorEastAsia"/>
                <w:b w:val="0"/>
                <w:bCs/>
                <w:sz w:val="21"/>
                <w:szCs w:val="21"/>
              </w:rPr>
            </w:pPr>
          </w:p>
        </w:tc>
      </w:tr>
    </w:tbl>
    <w:p>
      <w:r>
        <w:rPr>
          <w:rFonts w:hint="eastAsia" w:asciiTheme="minorEastAsia" w:hAnsiTheme="minorEastAsia" w:eastAsiaTheme="minorEastAsia" w:cstheme="minorEastAsia"/>
          <w:color w:val="000000"/>
          <w:kern w:val="0"/>
          <w:sz w:val="24"/>
          <w:szCs w:val="24"/>
          <w:lang w:bidi="ar"/>
        </w:rPr>
        <w:t>※备注：1.试剂报价包括：</w:t>
      </w:r>
      <w:r>
        <w:rPr>
          <w:rFonts w:hint="eastAsia" w:asciiTheme="minorEastAsia" w:hAnsiTheme="minorEastAsia" w:eastAsiaTheme="minorEastAsia" w:cstheme="minorEastAsia"/>
          <w:b w:val="0"/>
          <w:bCs w:val="0"/>
          <w:color w:val="000000"/>
          <w:kern w:val="0"/>
          <w:sz w:val="24"/>
          <w:szCs w:val="24"/>
          <w:lang w:bidi="ar"/>
        </w:rPr>
        <w:t>试剂盒、质控品、校准品以及所有配套耗材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91013"/>
    <w:multiLevelType w:val="multilevel"/>
    <w:tmpl w:val="1D19101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2FA1B4C"/>
    <w:multiLevelType w:val="multilevel"/>
    <w:tmpl w:val="22FA1B4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F85263"/>
    <w:multiLevelType w:val="multilevel"/>
    <w:tmpl w:val="37F8526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21F46D2"/>
    <w:multiLevelType w:val="multilevel"/>
    <w:tmpl w:val="521F46D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D035B0C"/>
    <w:multiLevelType w:val="multilevel"/>
    <w:tmpl w:val="6D035B0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N2MwMDgyNmY5Njg3YmFkYTdjMTBkOTdkYmIxYzQifQ=="/>
  </w:docVars>
  <w:rsids>
    <w:rsidRoot w:val="27503D87"/>
    <w:rsid w:val="27503D87"/>
    <w:rsid w:val="4CF1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2024-05-08T01:48:00Z</dcterms:created>
  <dc:creator>仲良</dc:creator>
  <cp:lastModifiedBy>仲良</cp:lastModifiedBy>
  <dcterms:modified xsi:type="dcterms:W3CDTF">2024-05-08T01:49:07Z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0028B63CA9DD4EA7B997F179323CDC50_13</vt:lpwstr>
  </property>
</Properties>
</file>