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85"/>
        <w:gridCol w:w="897"/>
        <w:gridCol w:w="1148"/>
        <w:gridCol w:w="598"/>
        <w:gridCol w:w="718"/>
        <w:gridCol w:w="674"/>
        <w:gridCol w:w="481"/>
        <w:gridCol w:w="479"/>
        <w:gridCol w:w="754"/>
        <w:gridCol w:w="754"/>
        <w:gridCol w:w="514"/>
        <w:gridCol w:w="702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产前诊断分子实验建设试剂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报价</w:t>
            </w:r>
            <w:r>
              <w:rPr>
                <w:rStyle w:val="7"/>
                <w:rFonts w:hint="eastAsia"/>
                <w:sz w:val="32"/>
                <w:szCs w:val="32"/>
                <w:lang w:val="en-US" w:eastAsia="zh-CN" w:bidi="ar"/>
              </w:rPr>
              <w:t>一览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流水号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平台6月加权平均价（元）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2、报价应包括运输、保险、代理、安装、调试、人员培训、税费、系统集成费用等所有费用的总和；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3、表中的序号必须按询价设备或试剂清单的序号填写。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34E46065"/>
    <w:rsid w:val="34E46065"/>
    <w:rsid w:val="43A935CE"/>
    <w:rsid w:val="442F766F"/>
    <w:rsid w:val="4D914ECA"/>
    <w:rsid w:val="5A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0</Lines>
  <Paragraphs>0</Paragraphs>
  <TotalTime>0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2022-06-10T03:57:00Z</dcterms:created>
  <dc:creator>静</dc:creator>
  <cp:lastModifiedBy>静</cp:lastModifiedBy>
  <dcterms:modified xsi:type="dcterms:W3CDTF">2022-06-10T03:59:24Z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8B3D5CE3D15D4134B372827190FF43E1</vt:lpwstr>
  </property>
</Properties>
</file>