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jc w:val="both"/>
        <w:textAlignment w:val="baseline"/>
        <w:rPr>
          <w:rFonts w:hint="eastAsia" w:ascii="黑体" w:hAnsi="黑体" w:eastAsia="黑体" w:cs="黑体"/>
          <w:b/>
          <w:bCs/>
          <w:color w:val="38383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83838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color w:val="383838"/>
          <w:sz w:val="32"/>
          <w:szCs w:val="32"/>
          <w:lang w:val="en-US" w:eastAsia="zh-CN"/>
        </w:rPr>
        <w:t>3：</w:t>
      </w:r>
    </w:p>
    <w:p>
      <w:pPr>
        <w:pStyle w:val="4"/>
        <w:shd w:val="clear" w:color="auto" w:fill="FFFFFF"/>
        <w:spacing w:before="0" w:beforeAutospacing="0" w:after="0" w:afterAutospacing="0"/>
        <w:ind w:firstLine="3842" w:firstLineChars="1200"/>
        <w:jc w:val="both"/>
        <w:textAlignment w:val="baseline"/>
        <w:rPr>
          <w:rFonts w:hint="eastAsia" w:ascii="inherit" w:hAnsi="inherit" w:eastAsia="微软雅黑"/>
          <w:b/>
          <w:bCs/>
          <w:color w:val="383838"/>
          <w:sz w:val="32"/>
          <w:szCs w:val="32"/>
          <w:lang w:eastAsia="zh-CN"/>
        </w:rPr>
      </w:pPr>
      <w:r>
        <w:rPr>
          <w:rFonts w:hint="eastAsia" w:ascii="inherit" w:hAnsi="inherit" w:eastAsia="微软雅黑"/>
          <w:b/>
          <w:bCs/>
          <w:color w:val="383838"/>
          <w:sz w:val="32"/>
          <w:szCs w:val="32"/>
          <w:lang w:eastAsia="zh-CN"/>
        </w:rPr>
        <w:t>技</w:t>
      </w:r>
      <w:r>
        <w:rPr>
          <w:rFonts w:hint="eastAsia" w:ascii="inherit" w:hAnsi="inherit" w:eastAsia="微软雅黑"/>
          <w:b/>
          <w:bCs/>
          <w:color w:val="383838"/>
          <w:sz w:val="32"/>
          <w:szCs w:val="32"/>
          <w:lang w:val="en-US" w:eastAsia="zh-CN"/>
        </w:rPr>
        <w:t xml:space="preserve"> </w:t>
      </w:r>
      <w:r>
        <w:rPr>
          <w:rFonts w:hint="eastAsia" w:ascii="inherit" w:hAnsi="inherit" w:eastAsia="微软雅黑"/>
          <w:b/>
          <w:bCs/>
          <w:color w:val="383838"/>
          <w:sz w:val="32"/>
          <w:szCs w:val="32"/>
          <w:lang w:eastAsia="zh-CN"/>
        </w:rPr>
        <w:t>术</w:t>
      </w:r>
      <w:r>
        <w:rPr>
          <w:rFonts w:hint="eastAsia" w:ascii="inherit" w:hAnsi="inherit" w:eastAsia="微软雅黑"/>
          <w:b/>
          <w:bCs/>
          <w:color w:val="383838"/>
          <w:sz w:val="32"/>
          <w:szCs w:val="32"/>
          <w:lang w:val="en-US" w:eastAsia="zh-CN"/>
        </w:rPr>
        <w:t xml:space="preserve"> </w:t>
      </w:r>
      <w:r>
        <w:rPr>
          <w:rFonts w:hint="eastAsia" w:ascii="inherit" w:hAnsi="inherit" w:eastAsia="微软雅黑"/>
          <w:b/>
          <w:bCs/>
          <w:color w:val="383838"/>
          <w:sz w:val="32"/>
          <w:szCs w:val="32"/>
          <w:lang w:eastAsia="zh-CN"/>
        </w:rPr>
        <w:t>参</w:t>
      </w:r>
      <w:r>
        <w:rPr>
          <w:rFonts w:hint="eastAsia" w:ascii="inherit" w:hAnsi="inherit" w:eastAsia="微软雅黑"/>
          <w:b/>
          <w:bCs/>
          <w:color w:val="383838"/>
          <w:sz w:val="32"/>
          <w:szCs w:val="32"/>
          <w:lang w:val="en-US" w:eastAsia="zh-CN"/>
        </w:rPr>
        <w:t xml:space="preserve"> </w:t>
      </w:r>
      <w:r>
        <w:rPr>
          <w:rFonts w:hint="eastAsia" w:ascii="inherit" w:hAnsi="inherit" w:eastAsia="微软雅黑"/>
          <w:b/>
          <w:bCs/>
          <w:color w:val="383838"/>
          <w:sz w:val="32"/>
          <w:szCs w:val="32"/>
          <w:lang w:eastAsia="zh-CN"/>
        </w:rPr>
        <w:t>数</w:t>
      </w:r>
    </w:p>
    <w:tbl>
      <w:tblPr>
        <w:tblStyle w:val="5"/>
        <w:tblpPr w:leftFromText="180" w:rightFromText="180" w:vertAnchor="text" w:horzAnchor="page" w:tblpX="593" w:tblpY="466"/>
        <w:tblOverlap w:val="never"/>
        <w:tblW w:w="108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980"/>
        <w:gridCol w:w="2595"/>
        <w:gridCol w:w="5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★</w:t>
            </w:r>
            <w:r>
              <w:rPr>
                <w:rStyle w:val="8"/>
                <w:lang w:val="en-US" w:eastAsia="zh-CN" w:bidi="ar"/>
              </w:rPr>
              <w:t>规格要求</w:t>
            </w:r>
          </w:p>
        </w:tc>
        <w:tc>
          <w:tcPr>
            <w:tcW w:w="5840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（厘米）</w:t>
            </w:r>
          </w:p>
        </w:tc>
        <w:tc>
          <w:tcPr>
            <w:tcW w:w="5840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漂白纱卡被套</w:t>
            </w:r>
          </w:p>
        </w:tc>
        <w:tc>
          <w:tcPr>
            <w:tcW w:w="2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245*165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★1.面料名称：纱卡织物；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★2.面料规格： C21s  112*58；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▲3.纤维含量：棉100%；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4.经向密度(根/10cm)：≥440，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纬向密度(根/10cm)：≥213；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5.异味：无；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★6.PH值：4.0-8.5；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★7.甲醛含量（mg/kg）：≤75；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★8. 可分解致癌芳香胺染料（mg/kg）：禁用；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★9. 耐酸汗渍色牢度：原样变色：≥4级，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耐酸汗渍色牢度：沾色（毛）：≥4级，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耐酸汗渍色牢度：沾色（棉）：≥4级；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★10.耐碱汗渍色牢度：原样变色：≥4级，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耐碱汗渍色牢度：沾色（毛）：≥4级，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漂白纱卡床罩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床垫尺寸：200*90*12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耐碱汗渍色牢度：沾色（棉）：≥4级；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漂白纱卡床单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270*220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11.耐酸斑色牢度：原样变色：≥4级；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漂白纱卡枕套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80*53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12.耐碱斑色牢度：原样变色：≥4级；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白色纱卡中单 （单层）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100×150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★13.耐摩擦色牢度：干摩(经向) ：≥4级，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纯棉白布治疗巾(双层）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130*130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耐摩擦色牢度：干摩(纬向) ：≥4级；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纯棉白布治疗巾(双层）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80*80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★14.耐摩擦色牢度：湿摩(经向) ：≥4级，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纯棉白布棉垫  (双层）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35*35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耐摩擦色牢度：湿摩(纬向) ：≥4级；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纯棉白布棉垫  (双层）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35*70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▲15.此纱卡面料洗涤≥100次以后，面料对以下菌种仍具有≥99%的抑菌率, 能有效防止病原微生物再生和繁殖，避免病患交叉感染，菌种名称及（菌种编码）：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静配隔离衣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全型号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大肠杆菌（ATCC 25922）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静配小方巾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30*30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金黄色葡萄球菌（ATCC 6538）。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兰白条值班被套</w:t>
            </w:r>
          </w:p>
        </w:tc>
        <w:tc>
          <w:tcPr>
            <w:tcW w:w="2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245×165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★1.面料名称：纱绢织物；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★2.面料规格： C21s  100*54；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3.经向密度(根/10cm)：≥393；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纬向密度(根/10cm)：≥212；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4.异味：无；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★5.PH值：4.0-8.5；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★6.甲醛含量（mg/kg）：≤75；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★7.可分解致癌芳香胺染料（mg/kg）：禁用；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★8.耐酸汗渍色牢度：原样变色：≥4级，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耐酸汗渍色牢度：沾色（毛）：≥4级，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耐酸汗渍色牢度：沾色（棉）：≥4级；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★9.耐碱汗渍色牢度：原样变色：≥4级，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耐碱汗渍色牢度：沾色（毛）：≥4级，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耐碱汗渍色牢度：沾色（棉）：≥4级；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10.耐酸斑色牢度：原样变色：≥4级；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11.耐碱斑色牢度：原样变色：≥4级；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★12.耐摩擦色牢度：干摩(经向) ：≥4级，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耐摩擦色牢度：干摩(纬向) ：≥4级；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★13.耐摩擦色牢度：湿摩(经向) ：≥4级，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耐摩擦色牢度：湿摩(纬向) ：≥4级；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▲14.此纱绢面料洗涤≥100次以后，面料对以下菌种仍具有≥99%的抑菌率, 能有效防止病原微生物再生和繁殖，避免病患交叉感染，菌种名称及（菌种编码）：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兰白条值班枕套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50×80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大肠杆菌（ATCC 25922），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兰白条值班床单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270*180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金黄色葡萄球菌（ATCC 6538）。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彩条布被套</w:t>
            </w:r>
          </w:p>
        </w:tc>
        <w:tc>
          <w:tcPr>
            <w:tcW w:w="2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245*165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★1.面料名称：平布；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★2.面料规格： C21s  72*60；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 经向密度(根/10cm)：≥283，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纬向密度(根/10cm)：≥236；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4.异味：无；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★5.PH值：4.0-8.5；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★6.甲醛含量（mg/kg）：≤75；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★7.可分解致癌芳香胺染料（mg/kg）：禁用；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★8.耐酸汗渍色牢度：原样变色：≥4级，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耐酸汗渍色牢度：沾色（毛）：≥4级，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耐酸汗渍色牢度：沾色（棉）：≥4级；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9.耐酸斑色牢度：原样变色：≥4级；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10.耐碱斑色牢度：原样变色：≥4级；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★11.耐碱汗渍色牢度：原样变色：≥4级，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耐碱汗渍色牢度：沾色（毛）：≥4级，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耐碱汗渍色牢度：沾色（棉）：≥4级；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彩条布床罩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床垫尺寸：180*85*10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★12.耐摩擦色牢度：干摩(经向) ：≥4级，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彩条布床罩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270*180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耐摩擦色牢度：干摩(纬向) ：≥4级；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彩条布床罩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80*53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★13.耐摩擦色牢度：湿摩(经向) ：≥4级，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原白布垫絮套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235*105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耐摩擦色牢度：湿摩(纬向) ：≥4级；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婴儿床被套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100*120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▲14.此平布面料洗涤≥100次以后，面料对以下菌种仍具有≥99%的抑菌率, 能有效防止病原微生物再生和繁殖，避免病患交叉感染，菌种名称及（菌种编码）：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烤单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220*125*150cm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大肠杆菌（ATCC 25922），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婴儿床垫絮套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45*75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金黄色葡萄球菌（ATCC 6538）。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妇产VIP床罩</w:t>
            </w:r>
          </w:p>
        </w:tc>
        <w:tc>
          <w:tcPr>
            <w:tcW w:w="2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床垫尺寸：200*100*8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★1.面料名称：涤缎条面料；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★2.面料规格：T50/C50  30s  133*76；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▲3.纤维含量：聚酯纤维：50%±5% ，棉：50%±5%；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4.经向密度(根/10cm)：≥523，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纬向密度(根/10cm)：≥300；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▲5.经纱支数：30s±2 ，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纬纱支数: 30s±2；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★6.PH值：4.0-7.5；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7.异味：无；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★8.甲醛含量（mg/kg）：≤20；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★9.可分解致癌芳香胺染料（mg/kg）：禁用；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★10.耐酸汗渍色牢度：原样变色：≥4级，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耐酸汗渍色牢度：沾色（毛）：≥4级，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耐酸汗渍色牢度：沾色（棉）：≥4级；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★11.耐碱汗渍色牢度：原样变色：≥4级，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耐碱汗渍色牢度：沾色（毛）：≥4级，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耐碱汗渍色牢度：沾色（棉）：≥4级；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★12.耐唾液色牢度：原样变色：≥4级，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耐唾液色牢度：毛沾色：≥4级，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耐唾液色牢度：棉沾色：≥4级；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★13.耐摩擦色牢度：干摩(经向) ：≥4级，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耐摩擦色牢度：干摩(纬向) ：≥4级；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妇产VIP被套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245*165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★14.耐摩擦色牢度：湿摩(经向) ：≥4级，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（不能拼接）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耐摩擦色牢度：湿摩(纬向) ：≥4级；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妇产VIP枕套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80*53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▲15.此涤缎条面料洗涤≥100次以后，面料对以下菌种仍具有≥99%的抑菌率, 能有效防止病原微生物再生和繁殖，避免病患交叉感染，菌种名称及（菌种编码）：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婴垫</w:t>
            </w:r>
          </w:p>
        </w:tc>
        <w:tc>
          <w:tcPr>
            <w:tcW w:w="2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 80*60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★1.面料名称：天然彩棉；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★2.甲醛含量（mg/kg）：≤20；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★3.PH值：4.0-7.5；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4.异味：无。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枕芯</w:t>
            </w:r>
          </w:p>
        </w:tc>
        <w:tc>
          <w:tcPr>
            <w:tcW w:w="2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45*75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★1、面料成分：涤棉混纺；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2、填充物：100%聚酯纤维；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★3、重量：&gt;650g。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垫棉絮</w:t>
            </w:r>
          </w:p>
        </w:tc>
        <w:tc>
          <w:tcPr>
            <w:tcW w:w="2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200*90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1、感官要求：≥4级；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★2、技术指标.重量：≥2kg；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3、技术指标.含杂率：≤0.5%；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4、技术指标.研磨率：≥80%；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▲5、短纤维（≤13mm）：≤25%；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6、异味：无异味；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▲7、无传播疾病虫卵；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8、棉胎四周包边平整，无缺花。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盖棉絮</w:t>
            </w:r>
          </w:p>
        </w:tc>
        <w:tc>
          <w:tcPr>
            <w:tcW w:w="2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200*150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1、感官要求：1级；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★2、技术指标.重量：≥2.5kg；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3、技术指标.含杂率：≤0.5%；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4、技术指标.研磨率：≥80%；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▲5、短纤维（≤13mm）：≤25%；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6、异味：无异味；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▲7、无传播疾病虫卵；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8、棉胎四周包边平整，无缺花。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婴儿床盖棉絮</w:t>
            </w:r>
          </w:p>
        </w:tc>
        <w:tc>
          <w:tcPr>
            <w:tcW w:w="2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100*120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1、感官要求：1级；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2、技术指标.含杂率：≤0.5%；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3、技术指标.研磨率：≥80%；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▲4、短纤维（≤13mm）：≤25%；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5、异味：无异味；棉胎四周包边平整，无缺花；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▲6、无传播疾病虫卵。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婴儿床垫棉絮</w:t>
            </w:r>
          </w:p>
        </w:tc>
        <w:tc>
          <w:tcPr>
            <w:tcW w:w="2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45*75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1、感官要求：1级；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2、技术指标.含杂率：≤0.5%；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3、技术指标.研磨率：≥80%；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▲4、短纤维（≤13mm）：≤25%；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5、异味：无异味；棉胎四周包边平整，无缺花；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▲6、无传播疾病虫卵。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凉被</w:t>
            </w:r>
          </w:p>
        </w:tc>
        <w:tc>
          <w:tcPr>
            <w:tcW w:w="2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220*150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★1.面料名称：棉花夏被；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▲2.面料成分：A版面料；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▲3.填充物：100%棉；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★4.甲醛含量（mg/kg）：≤20；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★5.PH值：4.0-7.5；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6.异味：无。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油绿纱卡孔巾（双层)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130*95 正中开22*6的椭圆孔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★1.面料名称：油绿纱卡；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油绿纱卡眼科双孔巾</w:t>
            </w:r>
          </w:p>
        </w:tc>
        <w:tc>
          <w:tcPr>
            <w:tcW w:w="2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130*95 两个7*6的孔，两孔间距4cm，中间加15*15的挡片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★2.面料规格：C21s 112*58；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★3.pH值：4.0-7.5；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油绿纱卡洞巾（双层)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95*60  正中开洞12cm的圆孔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★4.甲醛含量（mg/kg）：≤20；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油绿纱卡盘套（双层）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105*80，（共4层）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★5.耐摩擦色牢度：干摩擦：≥4级，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油绿纱卡包布（双层）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100*100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耐摩擦色牢度：湿摩擦 ：≥4级；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油绿纱卡包布（双层）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120*120，不拼不打交叉线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★6.耐唾液色牢度：原样变色：≥4级，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油绿纱卡手术衣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腹背式前胸双层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耐唾液色牢度：棉沾色：≥4级，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油绿纱卡桌布 （双层）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250*150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耐唾液色牢度：聚酯纤维沾色：≥4级；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油绿纱卡大桌布（双层）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280*200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7.经向密度(根/10cm):445±5，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油绿纱卡介入大腹单（双层）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380*250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纬向密度(根/10cm):233±5；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油绿纱卡洗手衣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V字领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★8.可分解致癌芳香胺染料（mg/kg）：禁用；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油绿纱卡洗手裤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全型号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▲9.此油绿纱卡面料洗涤≥100次以后，面料对以下菌种仍具有≥99%的抑菌率, 能有效防止病原微生物再生和繁殖，避免病患交叉感染，菌种名称及（菌种编码）：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油绿纱卡洗手衣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长袖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大肠杆菌（ATCC 25922），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油绿纱卡手术室专用被套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245×165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金黄色葡萄球菌（ATCC 6538）。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油绿纱卡床单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240*130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油绿纱卡大腹单（双层）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380*240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油绿纱卡麻醉服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螺纹领口、袖口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油绿纱卡脚套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120*100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油绿纱卡小巾 （单层）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105×63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绿光布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220*150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油绿纱卡消融大孔巾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185*155*20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油绿纱卡翻身布双层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130*100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油绿纱卡单层治疗巾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100*80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油绿纱卡隔离衣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全型号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油绿纱卡心脏洞巾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90*60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纯棉白布约束带（四层）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20*50加两边带长分别70cm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漂白纱卡隔离衣</w:t>
            </w:r>
          </w:p>
        </w:tc>
        <w:tc>
          <w:tcPr>
            <w:tcW w:w="2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普通手术衣式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★1.面料名称：漂白纱卡；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★2.面料规格：C21s 112*58；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★3.pH值：4.0-7.5；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★4.甲醛含量（mg/kg）：≤20；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★5.耐摩擦色牢度：干摩擦：≥4级，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耐摩擦色牢度：湿摩擦 ：≥4级；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★6.耐唾液色牢度：原样变色：≥4级，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耐唾液色牢度：棉沾色：≥4级，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耐唾液色牢度：聚酯纤维沾色：≥4级；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7.经向密度(根/10cm):445±5，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纬向密度(根/10cm):233±5；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★8. 可分解致癌芳香胺染料（mg/kg）：禁用；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▲9.此漂白纱卡面料洗涤≥100次以后，面料对以下菌种仍具有≥99%的抑菌率, 能有效防止病原微生物再生和繁殖，避免病患交叉感染，菌种名称及（菌种编码）：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大肠杆菌（ATCC 25922），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金黄色葡萄球菌（ATCC 6538）。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抱枕</w:t>
            </w:r>
          </w:p>
        </w:tc>
        <w:tc>
          <w:tcPr>
            <w:tcW w:w="2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全型号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1、外枕套为化纤材质；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2、内填充棉羽丝绒。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污物袋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全型号</w:t>
            </w:r>
          </w:p>
        </w:tc>
        <w:tc>
          <w:tcPr>
            <w:tcW w:w="5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1.面料名称：平布。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脚架套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80*45</w:t>
            </w:r>
          </w:p>
        </w:tc>
        <w:tc>
          <w:tcPr>
            <w:tcW w:w="5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 w:eastAsia="微软雅黑"/>
          <w:b/>
          <w:bCs/>
          <w:color w:val="38383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ZmI1Yjk5ZDQ3ZTNjMzdlMTc4YzU2YWY3NzQzZDcifQ=="/>
    <w:docVar w:name="KSO_WPS_MARK_KEY" w:val="3a69c687-ab67-48ca-8a42-2277cebc6f17"/>
  </w:docVars>
  <w:rsids>
    <w:rsidRoot w:val="6766243D"/>
    <w:rsid w:val="337B4EF0"/>
    <w:rsid w:val="6766243D"/>
    <w:rsid w:val="7B3B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8">
    <w:name w:val="font11"/>
    <w:basedOn w:val="6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9">
    <w:name w:val="font31"/>
    <w:basedOn w:val="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45</Characters>
  <Lines>0</Lines>
  <Paragraphs>0</Paragraphs>
  <TotalTime>0</TotalTime>
  <ScaleCrop>false</ScaleCrop>
  <LinksUpToDate>false</LinksUpToDate>
  <CharactersWithSpaces>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2025-02-17T03:36:00Z</dcterms:created>
  <dc:creator>仲良</dc:creator>
  <cp:lastModifiedBy>仲良</cp:lastModifiedBy>
  <dcterms:modified xsi:type="dcterms:W3CDTF">2025-02-17T03:37:38Z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EF1BAD39645842BAB0EBF83506BF3F99_13</vt:lpwstr>
  </property>
</Properties>
</file>